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A899" w14:textId="77777777" w:rsidR="00AD6166" w:rsidRPr="00965F7F" w:rsidRDefault="00AD6166" w:rsidP="00DA3FE0">
      <w:pPr>
        <w:pStyle w:val="HPRACoverGuidefor"/>
      </w:pPr>
      <w:r w:rsidRPr="00965F7F">
        <w:t xml:space="preserve">Guide </w:t>
      </w:r>
      <w:r w:rsidR="005E7F5F">
        <w:t>to</w:t>
      </w:r>
    </w:p>
    <w:p w14:paraId="08E4D006" w14:textId="77777777" w:rsidR="00AD6166" w:rsidRDefault="005E7F5F" w:rsidP="004B1144">
      <w:pPr>
        <w:pStyle w:val="HPRACoverTitle"/>
      </w:pPr>
      <w:r w:rsidRPr="005E7F5F">
        <w:t>Completion of the Hospital Blood Bank Annual Report</w:t>
      </w:r>
    </w:p>
    <w:p w14:paraId="4D0D32DF" w14:textId="77777777" w:rsidR="003A3AA9" w:rsidRPr="003A3AA9" w:rsidRDefault="003A3AA9" w:rsidP="004B1144">
      <w:pPr>
        <w:pStyle w:val="HPRACoverTitle"/>
        <w:rPr>
          <w:bCs w:val="0"/>
          <w:sz w:val="24"/>
          <w:szCs w:val="24"/>
        </w:rPr>
      </w:pPr>
      <w:r w:rsidRPr="003A3AA9">
        <w:rPr>
          <w:bCs w:val="0"/>
          <w:sz w:val="24"/>
          <w:szCs w:val="24"/>
        </w:rPr>
        <w:t>(Completion due 1 March annually)</w:t>
      </w:r>
    </w:p>
    <w:p w14:paraId="0E6573CD" w14:textId="77777777" w:rsidR="00B70B69" w:rsidRPr="00833EAF" w:rsidRDefault="00B70B69">
      <w:pPr>
        <w:rPr>
          <w:highlight w:val="yellow"/>
        </w:rPr>
      </w:pPr>
    </w:p>
    <w:p w14:paraId="65182A54" w14:textId="77777777" w:rsidR="00B70B69" w:rsidRDefault="00B70B69"/>
    <w:p w14:paraId="6B1CD4D2" w14:textId="77777777" w:rsidR="00D1047B" w:rsidRDefault="00D1047B">
      <w:pPr>
        <w:sectPr w:rsidR="00D1047B" w:rsidSect="00F74A89">
          <w:headerReference w:type="even" r:id="rId8"/>
          <w:headerReference w:type="default" r:id="rId9"/>
          <w:footerReference w:type="even" r:id="rId10"/>
          <w:footerReference w:type="default" r:id="rId11"/>
          <w:headerReference w:type="first" r:id="rId12"/>
          <w:footerReference w:type="first" r:id="rId13"/>
          <w:pgSz w:w="11906" w:h="16838" w:code="9"/>
          <w:pgMar w:top="5443" w:right="1701" w:bottom="5954" w:left="1701" w:header="1134" w:footer="851" w:gutter="0"/>
          <w:cols w:space="708"/>
          <w:docGrid w:linePitch="360"/>
        </w:sectPr>
      </w:pPr>
    </w:p>
    <w:p w14:paraId="4C1D633D" w14:textId="77777777" w:rsidR="005E7F5F" w:rsidRPr="00B70B69" w:rsidRDefault="00D1047B" w:rsidP="00B70B69">
      <w:pPr>
        <w:pStyle w:val="HPRAHeadingL1"/>
      </w:pPr>
      <w:r w:rsidRPr="005E7F5F">
        <w:rPr>
          <w:u w:val="single"/>
        </w:rPr>
        <w:br w:type="page"/>
      </w:r>
      <w:r w:rsidR="005E7F5F" w:rsidRPr="00B70B69">
        <w:lastRenderedPageBreak/>
        <w:t>SCOPE</w:t>
      </w:r>
    </w:p>
    <w:p w14:paraId="1E750B2E" w14:textId="77777777" w:rsidR="005E7F5F" w:rsidRPr="00B70B69" w:rsidRDefault="005E7F5F" w:rsidP="00B70B69">
      <w:pPr>
        <w:pStyle w:val="HPRAMainBodyText"/>
      </w:pPr>
    </w:p>
    <w:p w14:paraId="0B3AAC65" w14:textId="3E9D2A54" w:rsidR="005E7F5F" w:rsidRPr="00B70B69" w:rsidRDefault="005E7F5F" w:rsidP="00B70B69">
      <w:pPr>
        <w:pStyle w:val="HPRAMainBodyText"/>
        <w:rPr>
          <w:szCs w:val="22"/>
        </w:rPr>
      </w:pPr>
      <w:r w:rsidRPr="00B70B69">
        <w:rPr>
          <w:szCs w:val="22"/>
        </w:rPr>
        <w:t xml:space="preserve">This guide is issued by the </w:t>
      </w:r>
      <w:r w:rsidR="007A23DA">
        <w:rPr>
          <w:szCs w:val="22"/>
        </w:rPr>
        <w:t>H</w:t>
      </w:r>
      <w:r w:rsidR="00F74A89">
        <w:rPr>
          <w:szCs w:val="22"/>
        </w:rPr>
        <w:t xml:space="preserve">ealth </w:t>
      </w:r>
      <w:r w:rsidR="007A23DA">
        <w:rPr>
          <w:szCs w:val="22"/>
        </w:rPr>
        <w:t>P</w:t>
      </w:r>
      <w:r w:rsidR="00F74A89">
        <w:rPr>
          <w:szCs w:val="22"/>
        </w:rPr>
        <w:t xml:space="preserve">roducts </w:t>
      </w:r>
      <w:r w:rsidR="007A23DA">
        <w:rPr>
          <w:szCs w:val="22"/>
        </w:rPr>
        <w:t>R</w:t>
      </w:r>
      <w:r w:rsidR="00F74A89">
        <w:rPr>
          <w:szCs w:val="22"/>
        </w:rPr>
        <w:t xml:space="preserve">egulatory </w:t>
      </w:r>
      <w:r w:rsidR="007A23DA">
        <w:rPr>
          <w:szCs w:val="22"/>
        </w:rPr>
        <w:t>A</w:t>
      </w:r>
      <w:r w:rsidR="00F74A89">
        <w:rPr>
          <w:szCs w:val="22"/>
        </w:rPr>
        <w:t>uthority (HPRA)</w:t>
      </w:r>
      <w:r w:rsidRPr="00B70B69">
        <w:rPr>
          <w:szCs w:val="22"/>
        </w:rPr>
        <w:t xml:space="preserve"> to provide guidance </w:t>
      </w:r>
      <w:r w:rsidR="00F74A89">
        <w:rPr>
          <w:szCs w:val="22"/>
        </w:rPr>
        <w:t>on how to complete</w:t>
      </w:r>
      <w:r w:rsidRPr="00B70B69">
        <w:rPr>
          <w:szCs w:val="22"/>
        </w:rPr>
        <w:t xml:space="preserve"> the hospital blood bank annual report (HBBAR).</w:t>
      </w:r>
    </w:p>
    <w:p w14:paraId="64F45982" w14:textId="77777777" w:rsidR="005E7F5F" w:rsidRPr="00B70B69" w:rsidRDefault="005E7F5F" w:rsidP="00B70B69">
      <w:pPr>
        <w:pStyle w:val="HPRAMainBodyText"/>
        <w:rPr>
          <w:szCs w:val="22"/>
        </w:rPr>
      </w:pPr>
    </w:p>
    <w:p w14:paraId="0D1AC09F" w14:textId="77777777" w:rsidR="005E7F5F" w:rsidRPr="00B70B69" w:rsidRDefault="005E7F5F" w:rsidP="00B70B69">
      <w:pPr>
        <w:pStyle w:val="HPRAMainBodyText"/>
        <w:rPr>
          <w:szCs w:val="22"/>
        </w:rPr>
      </w:pPr>
    </w:p>
    <w:p w14:paraId="565C58EB" w14:textId="77777777" w:rsidR="005E7F5F" w:rsidRPr="00B70B69" w:rsidRDefault="005E7F5F" w:rsidP="00B70B69">
      <w:pPr>
        <w:pStyle w:val="HPRAHeadingL1"/>
      </w:pPr>
      <w:bookmarkStart w:id="0" w:name="_Toc109452566"/>
      <w:bookmarkStart w:id="1" w:name="_Toc143933963"/>
      <w:r w:rsidRPr="00B70B69">
        <w:t>INTRODUCTION</w:t>
      </w:r>
      <w:bookmarkEnd w:id="0"/>
      <w:bookmarkEnd w:id="1"/>
    </w:p>
    <w:p w14:paraId="2FCC2250" w14:textId="77777777" w:rsidR="005E7F5F" w:rsidRPr="00B70B69" w:rsidRDefault="005E7F5F" w:rsidP="00B70B69">
      <w:pPr>
        <w:pStyle w:val="HPRAMainBodyText"/>
      </w:pPr>
    </w:p>
    <w:p w14:paraId="454D22F7" w14:textId="6FE71B6A" w:rsidR="005E7F5F" w:rsidRPr="00B70B69" w:rsidRDefault="005E7F5F" w:rsidP="00B70B69">
      <w:pPr>
        <w:pStyle w:val="HPRAMainBodyText"/>
        <w:rPr>
          <w:szCs w:val="22"/>
        </w:rPr>
      </w:pPr>
      <w:r w:rsidRPr="00B70B69">
        <w:rPr>
          <w:szCs w:val="22"/>
        </w:rPr>
        <w:t xml:space="preserve">Regulation 12 of </w:t>
      </w:r>
      <w:r w:rsidR="00852FD3">
        <w:rPr>
          <w:szCs w:val="22"/>
        </w:rPr>
        <w:t>S.</w:t>
      </w:r>
      <w:r w:rsidRPr="00B70B69">
        <w:rPr>
          <w:szCs w:val="22"/>
        </w:rPr>
        <w:t>I</w:t>
      </w:r>
      <w:r w:rsidR="00852FD3">
        <w:rPr>
          <w:szCs w:val="22"/>
        </w:rPr>
        <w:t xml:space="preserve">. </w:t>
      </w:r>
      <w:r w:rsidRPr="00B70B69">
        <w:rPr>
          <w:szCs w:val="22"/>
        </w:rPr>
        <w:t xml:space="preserve">360 of 2005, European Communities (Quality and Safety of Human Blood and Blood Components) Regulations requires that all hospital blood banks submit an annual report to the </w:t>
      </w:r>
      <w:r w:rsidR="007A23DA">
        <w:rPr>
          <w:szCs w:val="22"/>
        </w:rPr>
        <w:t>HPRA</w:t>
      </w:r>
      <w:r w:rsidR="00F74A89">
        <w:rPr>
          <w:szCs w:val="22"/>
        </w:rPr>
        <w:t>,</w:t>
      </w:r>
      <w:r w:rsidRPr="00B70B69">
        <w:rPr>
          <w:szCs w:val="22"/>
        </w:rPr>
        <w:t xml:space="preserve"> including a declaration that the hospital blood bank has in place appropriate systems to ensure compliance with the requirements of these Regulations and providing details of the systems which it has in place to ensure such compliance.</w:t>
      </w:r>
    </w:p>
    <w:p w14:paraId="3B4337A5" w14:textId="77777777" w:rsidR="005E7F5F" w:rsidRPr="00B70B69" w:rsidRDefault="005E7F5F" w:rsidP="00B70B69">
      <w:pPr>
        <w:pStyle w:val="HPRAMainBodyText"/>
        <w:rPr>
          <w:szCs w:val="22"/>
        </w:rPr>
      </w:pPr>
    </w:p>
    <w:p w14:paraId="1CBA8D96" w14:textId="77777777" w:rsidR="005E7F5F" w:rsidRPr="00B70B69" w:rsidRDefault="005E7F5F" w:rsidP="00B70B69">
      <w:pPr>
        <w:pStyle w:val="HPRAMainBodyText"/>
        <w:rPr>
          <w:b/>
          <w:color w:val="007041" w:themeColor="accent4"/>
        </w:rPr>
      </w:pPr>
      <w:r w:rsidRPr="00B70B69">
        <w:rPr>
          <w:b/>
          <w:color w:val="007041" w:themeColor="accent4"/>
        </w:rPr>
        <w:t>What is the definition of a hospital blood bank?</w:t>
      </w:r>
    </w:p>
    <w:p w14:paraId="3BD66266" w14:textId="77777777" w:rsidR="005E7F5F" w:rsidRPr="00B70B69" w:rsidRDefault="005E7F5F" w:rsidP="00B70B69">
      <w:pPr>
        <w:pStyle w:val="HPRAMainBodyText"/>
        <w:rPr>
          <w:szCs w:val="22"/>
        </w:rPr>
      </w:pPr>
    </w:p>
    <w:p w14:paraId="2A89B1A8" w14:textId="26ED4794" w:rsidR="005E7F5F" w:rsidRPr="00B70B69" w:rsidRDefault="005E7F5F" w:rsidP="00B70B69">
      <w:pPr>
        <w:pStyle w:val="HPRAMainBodyText"/>
        <w:rPr>
          <w:szCs w:val="22"/>
        </w:rPr>
      </w:pPr>
      <w:r w:rsidRPr="00B70B69">
        <w:rPr>
          <w:szCs w:val="22"/>
        </w:rPr>
        <w:t>A hospital blood bank is defined as a unit within a hospital which stores and distributes, and may perform compatibility tests on, blood and blood components exclusively for use within hospital facilities, and includes hospital</w:t>
      </w:r>
      <w:r w:rsidR="00F74A89">
        <w:rPr>
          <w:szCs w:val="22"/>
        </w:rPr>
        <w:t>-</w:t>
      </w:r>
      <w:r w:rsidRPr="00B70B69">
        <w:rPr>
          <w:szCs w:val="22"/>
        </w:rPr>
        <w:t>based transfusion services.</w:t>
      </w:r>
    </w:p>
    <w:p w14:paraId="7F714242" w14:textId="77777777" w:rsidR="005E7F5F" w:rsidRPr="00B70B69" w:rsidRDefault="005E7F5F" w:rsidP="00B70B69">
      <w:pPr>
        <w:pStyle w:val="HPRAMainBodyText"/>
        <w:rPr>
          <w:szCs w:val="22"/>
        </w:rPr>
      </w:pPr>
    </w:p>
    <w:p w14:paraId="3707E213" w14:textId="77777777" w:rsidR="005E7F5F" w:rsidRPr="00B70B69" w:rsidRDefault="005E7F5F" w:rsidP="00B70B69">
      <w:pPr>
        <w:pStyle w:val="HPRAMainBodyText"/>
        <w:rPr>
          <w:b/>
          <w:color w:val="007041" w:themeColor="accent4"/>
        </w:rPr>
      </w:pPr>
      <w:r w:rsidRPr="00B70B69">
        <w:rPr>
          <w:b/>
          <w:color w:val="007041" w:themeColor="accent4"/>
        </w:rPr>
        <w:t>What is the definition of a facility?</w:t>
      </w:r>
    </w:p>
    <w:p w14:paraId="4478D5BC" w14:textId="77777777" w:rsidR="005E7F5F" w:rsidRPr="00B70B69" w:rsidRDefault="005E7F5F" w:rsidP="00B70B69">
      <w:pPr>
        <w:pStyle w:val="HPRAMainBodyText"/>
        <w:rPr>
          <w:szCs w:val="22"/>
        </w:rPr>
      </w:pPr>
    </w:p>
    <w:p w14:paraId="6AAC572D" w14:textId="1987ECF7" w:rsidR="005E7F5F" w:rsidRPr="00B70B69" w:rsidRDefault="005E7F5F" w:rsidP="00B70B69">
      <w:pPr>
        <w:pStyle w:val="HPRAMainBodyText"/>
        <w:rPr>
          <w:szCs w:val="22"/>
        </w:rPr>
      </w:pPr>
      <w:r w:rsidRPr="00B70B69">
        <w:rPr>
          <w:szCs w:val="22"/>
        </w:rPr>
        <w:t>A facility is defined as a hospital, clinic, manufacturer or biomedical research institution to which blood or blood components may be delivered. This includes hospital wards, hospices or care homes</w:t>
      </w:r>
      <w:r w:rsidR="00F74A89">
        <w:rPr>
          <w:szCs w:val="22"/>
        </w:rPr>
        <w:t>,</w:t>
      </w:r>
      <w:r w:rsidRPr="00B70B69">
        <w:rPr>
          <w:szCs w:val="22"/>
        </w:rPr>
        <w:t xml:space="preserve"> etc.</w:t>
      </w:r>
      <w:r w:rsidR="00F74A89">
        <w:rPr>
          <w:szCs w:val="22"/>
        </w:rPr>
        <w:t>,</w:t>
      </w:r>
      <w:r w:rsidRPr="00B70B69">
        <w:rPr>
          <w:szCs w:val="22"/>
        </w:rPr>
        <w:t xml:space="preserve"> which receive blood components from a hospital blood bank for transfusion purposes (but do not perform compatibility tests on site).</w:t>
      </w:r>
    </w:p>
    <w:p w14:paraId="709936EE" w14:textId="77777777" w:rsidR="005E7F5F" w:rsidRPr="00B70B69" w:rsidRDefault="005E7F5F" w:rsidP="00B70B69">
      <w:pPr>
        <w:pStyle w:val="HPRAMainBodyText"/>
        <w:rPr>
          <w:szCs w:val="22"/>
        </w:rPr>
      </w:pPr>
    </w:p>
    <w:p w14:paraId="40DD43A5" w14:textId="77777777" w:rsidR="005E7F5F" w:rsidRPr="00B70B69" w:rsidRDefault="005E7F5F" w:rsidP="00B70B69">
      <w:pPr>
        <w:pStyle w:val="HPRAMainBodyText"/>
        <w:rPr>
          <w:szCs w:val="22"/>
        </w:rPr>
      </w:pPr>
      <w:r w:rsidRPr="00B70B69">
        <w:rPr>
          <w:szCs w:val="22"/>
        </w:rPr>
        <w:t>Facilities may perform key tasks which are covered by the scope of the blood legislation.</w:t>
      </w:r>
    </w:p>
    <w:p w14:paraId="0378DC19" w14:textId="77777777" w:rsidR="005E7F5F" w:rsidRPr="00B70B69" w:rsidRDefault="005E7F5F" w:rsidP="00B70B69">
      <w:pPr>
        <w:pStyle w:val="HPRAMainBodyText"/>
        <w:rPr>
          <w:szCs w:val="22"/>
        </w:rPr>
      </w:pPr>
      <w:r w:rsidRPr="00B70B69">
        <w:rPr>
          <w:szCs w:val="22"/>
        </w:rPr>
        <w:t>These are:</w:t>
      </w:r>
    </w:p>
    <w:p w14:paraId="4EA065AD" w14:textId="63121BCF" w:rsidR="005E7F5F" w:rsidRPr="00B70B69" w:rsidRDefault="005E7F5F" w:rsidP="002677E0">
      <w:pPr>
        <w:pStyle w:val="HPRAArabicNumeralBulletedList"/>
        <w:ind w:left="284" w:hanging="284"/>
      </w:pPr>
      <w:r w:rsidRPr="00B70B69">
        <w:t>The storage of blood components on site prior to transfusion (short term only)</w:t>
      </w:r>
      <w:r w:rsidR="00F74A89">
        <w:t>.</w:t>
      </w:r>
    </w:p>
    <w:p w14:paraId="7A697955" w14:textId="767A826D" w:rsidR="005E7F5F" w:rsidRPr="00B70B69" w:rsidRDefault="005E7F5F" w:rsidP="002677E0">
      <w:pPr>
        <w:pStyle w:val="HPRAArabicNumeralBulletedList"/>
        <w:ind w:left="284" w:hanging="284"/>
      </w:pPr>
      <w:r w:rsidRPr="00B70B69">
        <w:t>The control of monitoring, maintenance and calibration of any controlled temperature storage equipment on site</w:t>
      </w:r>
      <w:r w:rsidR="000F46FF">
        <w:t>,</w:t>
      </w:r>
      <w:r w:rsidRPr="00B70B69">
        <w:t xml:space="preserve"> e.g. blood fridge/freezer</w:t>
      </w:r>
      <w:r w:rsidR="00F74A89">
        <w:t>.</w:t>
      </w:r>
    </w:p>
    <w:p w14:paraId="3B60A9C4" w14:textId="77777777" w:rsidR="005E7F5F" w:rsidRPr="00B70B69" w:rsidRDefault="005E7F5F" w:rsidP="00B70B69">
      <w:pPr>
        <w:pStyle w:val="HPRAMainBodyText"/>
        <w:rPr>
          <w:szCs w:val="22"/>
        </w:rPr>
      </w:pPr>
    </w:p>
    <w:p w14:paraId="065D8FA9" w14:textId="77777777" w:rsidR="005E7F5F" w:rsidRPr="00B70B69" w:rsidRDefault="005E7F5F" w:rsidP="00B70B69">
      <w:pPr>
        <w:pStyle w:val="HPRAMainBodyText"/>
        <w:rPr>
          <w:b/>
          <w:color w:val="007041" w:themeColor="accent4"/>
        </w:rPr>
      </w:pPr>
      <w:r w:rsidRPr="00B70B69">
        <w:rPr>
          <w:b/>
          <w:color w:val="007041" w:themeColor="accent4"/>
        </w:rPr>
        <w:t>Who needs to complete an annual report?</w:t>
      </w:r>
    </w:p>
    <w:p w14:paraId="4E5CF67F" w14:textId="77777777" w:rsidR="005E7F5F" w:rsidRPr="00B70B69" w:rsidRDefault="005E7F5F" w:rsidP="00B70B69">
      <w:pPr>
        <w:pStyle w:val="HPRAMainBodyText"/>
        <w:rPr>
          <w:szCs w:val="22"/>
        </w:rPr>
      </w:pPr>
    </w:p>
    <w:p w14:paraId="5F695780" w14:textId="77777777" w:rsidR="005E7F5F" w:rsidRPr="00B70B69" w:rsidRDefault="005E7F5F" w:rsidP="00B70B69">
      <w:pPr>
        <w:pStyle w:val="HPRAMainBodyText"/>
        <w:rPr>
          <w:szCs w:val="22"/>
          <w:u w:val="single"/>
        </w:rPr>
      </w:pPr>
      <w:r w:rsidRPr="00B70B69">
        <w:rPr>
          <w:szCs w:val="22"/>
          <w:u w:val="single"/>
        </w:rPr>
        <w:t>Hospital blood banks</w:t>
      </w:r>
    </w:p>
    <w:p w14:paraId="674EC2E2" w14:textId="77777777" w:rsidR="005E7F5F" w:rsidRPr="00B70B69" w:rsidRDefault="005E7F5F" w:rsidP="00B70B69">
      <w:pPr>
        <w:pStyle w:val="HPRAMainBodyText"/>
        <w:rPr>
          <w:szCs w:val="22"/>
        </w:rPr>
      </w:pPr>
    </w:p>
    <w:p w14:paraId="53973BD5" w14:textId="77777777" w:rsidR="005E7F5F" w:rsidRPr="00B70B69" w:rsidRDefault="005E7F5F" w:rsidP="00B70B69">
      <w:pPr>
        <w:pStyle w:val="HPRABulletedList"/>
      </w:pPr>
      <w:r w:rsidRPr="00B70B69">
        <w:t xml:space="preserve">All hospital blood banks are required to complete all sections (1-8) of the hospital blood bank annual report. </w:t>
      </w:r>
    </w:p>
    <w:p w14:paraId="6BDF2B26" w14:textId="77777777" w:rsidR="005E7F5F" w:rsidRPr="00B70B69" w:rsidRDefault="005E7F5F" w:rsidP="00B70B69">
      <w:pPr>
        <w:pStyle w:val="HPRABulletedList"/>
        <w:numPr>
          <w:ilvl w:val="0"/>
          <w:numId w:val="0"/>
        </w:numPr>
        <w:ind w:left="284"/>
      </w:pPr>
    </w:p>
    <w:p w14:paraId="6B8749A9" w14:textId="38D3D24B" w:rsidR="005E7F5F" w:rsidRPr="00B70B69" w:rsidRDefault="005E7F5F" w:rsidP="00B70B69">
      <w:pPr>
        <w:pStyle w:val="HPRABulletedList"/>
      </w:pPr>
      <w:r w:rsidRPr="00B70B69">
        <w:t>If the hospital blood bank is currently not accredited to the ISO 15189 standard</w:t>
      </w:r>
      <w:r w:rsidR="00F74A89">
        <w:t>,</w:t>
      </w:r>
      <w:r w:rsidRPr="00B70B69">
        <w:t xml:space="preserve"> then all sections of Appendix 1 should also be completed and submitted to the </w:t>
      </w:r>
      <w:r w:rsidR="007A23DA">
        <w:t>HPRA</w:t>
      </w:r>
      <w:r w:rsidRPr="00B70B69">
        <w:t xml:space="preserve"> with the hospital blood bank annual report.</w:t>
      </w:r>
    </w:p>
    <w:p w14:paraId="4021D826" w14:textId="77777777" w:rsidR="005E7F5F" w:rsidRPr="00B70B69" w:rsidRDefault="005E7F5F" w:rsidP="00B70B69">
      <w:pPr>
        <w:pStyle w:val="HPRABulletedList"/>
      </w:pPr>
      <w:r w:rsidRPr="00B70B69">
        <w:lastRenderedPageBreak/>
        <w:t>All relevant sections should be completed, typed or in block capitals legibly using black ink.</w:t>
      </w:r>
    </w:p>
    <w:p w14:paraId="6D6DF81A" w14:textId="77777777" w:rsidR="005E7F5F" w:rsidRPr="00B70B69" w:rsidRDefault="005E7F5F" w:rsidP="00B70B69">
      <w:pPr>
        <w:pStyle w:val="HPRABulletedList"/>
        <w:numPr>
          <w:ilvl w:val="0"/>
          <w:numId w:val="0"/>
        </w:numPr>
        <w:ind w:left="284"/>
      </w:pPr>
    </w:p>
    <w:p w14:paraId="2ED3F688" w14:textId="39CFB342" w:rsidR="005E7F5F" w:rsidRPr="00B70B69" w:rsidRDefault="005E7F5F" w:rsidP="00B70B69">
      <w:pPr>
        <w:pStyle w:val="HPRABulletedList"/>
      </w:pPr>
      <w:r w:rsidRPr="00B70B69">
        <w:t>If particular sections/questions are not applicable, then</w:t>
      </w:r>
      <w:r w:rsidR="00826799">
        <w:t xml:space="preserve"> enter</w:t>
      </w:r>
      <w:r w:rsidRPr="00B70B69">
        <w:t xml:space="preserve"> ‘Not applicable’ in that section/question along with a brief explanation as to why that section/question is not applicable.</w:t>
      </w:r>
    </w:p>
    <w:p w14:paraId="14A58744" w14:textId="77777777" w:rsidR="005E7F5F" w:rsidRPr="00B70B69" w:rsidRDefault="005E7F5F" w:rsidP="00B70B69">
      <w:pPr>
        <w:pStyle w:val="HPRAMainBodyText"/>
      </w:pPr>
    </w:p>
    <w:p w14:paraId="2D42F699" w14:textId="77777777" w:rsidR="005E7F5F" w:rsidRPr="00B70B69" w:rsidRDefault="005E7F5F" w:rsidP="00B70B69">
      <w:pPr>
        <w:pStyle w:val="HPRAMainBodyText"/>
        <w:rPr>
          <w:b/>
          <w:color w:val="007041" w:themeColor="accent4"/>
        </w:rPr>
      </w:pPr>
      <w:r w:rsidRPr="00B70B69">
        <w:rPr>
          <w:b/>
          <w:color w:val="007041" w:themeColor="accent4"/>
        </w:rPr>
        <w:t>From where can annual report forms be obtained?</w:t>
      </w:r>
    </w:p>
    <w:p w14:paraId="7CFB1C93" w14:textId="77777777" w:rsidR="005E7F5F" w:rsidRPr="00B70B69" w:rsidRDefault="005E7F5F" w:rsidP="00B70B69">
      <w:pPr>
        <w:pStyle w:val="HPRAMainBodyText"/>
      </w:pPr>
    </w:p>
    <w:p w14:paraId="4884412B" w14:textId="5C2E5E96" w:rsidR="005E7F5F" w:rsidRPr="00B70B69" w:rsidRDefault="005E7F5F" w:rsidP="00B70B69">
      <w:pPr>
        <w:pStyle w:val="HPRAMainBodyText"/>
      </w:pPr>
      <w:r w:rsidRPr="00B70B69">
        <w:t xml:space="preserve">The </w:t>
      </w:r>
      <w:r w:rsidR="009F249A">
        <w:t>‘Hospital Blood Bank Annual R</w:t>
      </w:r>
      <w:r w:rsidRPr="00B70B69">
        <w:t>eport</w:t>
      </w:r>
      <w:r w:rsidR="009F249A">
        <w:t>’</w:t>
      </w:r>
      <w:r w:rsidRPr="00B70B69">
        <w:t xml:space="preserve"> form is available on the </w:t>
      </w:r>
      <w:r w:rsidR="007A23DA">
        <w:t>HPRA</w:t>
      </w:r>
      <w:r w:rsidRPr="00B70B69">
        <w:t xml:space="preserve"> website at </w:t>
      </w:r>
      <w:hyperlink r:id="rId14" w:history="1">
        <w:r w:rsidR="007A23DA" w:rsidRPr="002677E0">
          <w:rPr>
            <w:rStyle w:val="Hyperlink"/>
            <w:color w:val="004089" w:themeColor="accent3" w:themeShade="BF"/>
            <w:szCs w:val="22"/>
            <w:u w:val="none"/>
          </w:rPr>
          <w:t>www.hpra.ie</w:t>
        </w:r>
      </w:hyperlink>
      <w:r w:rsidRPr="00B70B69">
        <w:t>. If you have any problems downloading this document</w:t>
      </w:r>
      <w:r w:rsidR="00F74A89">
        <w:t>,</w:t>
      </w:r>
      <w:r w:rsidRPr="00B70B69">
        <w:t xml:space="preserve"> you may request one via email </w:t>
      </w:r>
      <w:r w:rsidR="00C11385">
        <w:t>from</w:t>
      </w:r>
      <w:r w:rsidR="00C11385" w:rsidRPr="00B70B69">
        <w:t xml:space="preserve"> </w:t>
      </w:r>
      <w:hyperlink r:id="rId15" w:history="1">
        <w:r w:rsidR="00E639BA" w:rsidRPr="002677E0">
          <w:rPr>
            <w:rStyle w:val="Hyperlink"/>
            <w:color w:val="004089" w:themeColor="accent3" w:themeShade="BF"/>
            <w:szCs w:val="22"/>
            <w:u w:val="none"/>
          </w:rPr>
          <w:t>hbbar@hpra.ie</w:t>
        </w:r>
      </w:hyperlink>
      <w:r w:rsidR="00833EAF">
        <w:t>.</w:t>
      </w:r>
    </w:p>
    <w:p w14:paraId="14C4DB93" w14:textId="77777777" w:rsidR="005E7F5F" w:rsidRPr="00B70B69" w:rsidRDefault="005E7F5F" w:rsidP="00B70B69">
      <w:pPr>
        <w:pStyle w:val="HPRAMainBodyText"/>
      </w:pPr>
    </w:p>
    <w:p w14:paraId="5F285EC8" w14:textId="77777777" w:rsidR="005E7F5F" w:rsidRPr="00B70B69" w:rsidRDefault="005E7F5F" w:rsidP="00B70B69">
      <w:pPr>
        <w:pStyle w:val="HPRAMainBodyText"/>
        <w:rPr>
          <w:b/>
          <w:color w:val="007041" w:themeColor="accent4"/>
        </w:rPr>
      </w:pPr>
      <w:r w:rsidRPr="00B70B69">
        <w:rPr>
          <w:b/>
          <w:color w:val="007041" w:themeColor="accent4"/>
        </w:rPr>
        <w:t>Submission of hospital blood bank annual reports</w:t>
      </w:r>
    </w:p>
    <w:p w14:paraId="2AC90A54" w14:textId="77777777" w:rsidR="005E7F5F" w:rsidRPr="00B70B69" w:rsidRDefault="005E7F5F" w:rsidP="00B70B69">
      <w:pPr>
        <w:pStyle w:val="HPRAMainBodyText"/>
      </w:pPr>
    </w:p>
    <w:p w14:paraId="7D9E1307" w14:textId="438295E3" w:rsidR="000F46FF" w:rsidRDefault="005E7F5F" w:rsidP="00B70B69">
      <w:pPr>
        <w:pStyle w:val="HPRAMainBodyText"/>
      </w:pPr>
      <w:r w:rsidRPr="00B70B69">
        <w:t>Completed</w:t>
      </w:r>
      <w:r w:rsidR="000F46FF">
        <w:t xml:space="preserve"> and signed</w:t>
      </w:r>
      <w:r w:rsidRPr="00B70B69">
        <w:t xml:space="preserve"> annual reports (and Appendix 1 where relevant) should be submitted to the </w:t>
      </w:r>
      <w:r w:rsidR="007A23DA">
        <w:t>HPRA</w:t>
      </w:r>
      <w:r w:rsidRPr="00B70B69">
        <w:t xml:space="preserve"> </w:t>
      </w:r>
      <w:r w:rsidR="000F46FF">
        <w:t>via</w:t>
      </w:r>
      <w:r w:rsidRPr="00B70B69">
        <w:t xml:space="preserve"> email </w:t>
      </w:r>
      <w:r w:rsidR="000F46FF">
        <w:t xml:space="preserve">to </w:t>
      </w:r>
      <w:hyperlink r:id="rId16" w:history="1">
        <w:r w:rsidR="000F46FF" w:rsidRPr="002677E0">
          <w:rPr>
            <w:rStyle w:val="Hyperlink"/>
            <w:color w:val="004089" w:themeColor="accent3" w:themeShade="BF"/>
            <w:u w:val="none"/>
          </w:rPr>
          <w:t>hbbar@hpra.ie</w:t>
        </w:r>
      </w:hyperlink>
      <w:r w:rsidR="000F46FF">
        <w:t xml:space="preserve"> </w:t>
      </w:r>
      <w:r w:rsidRPr="00B70B69">
        <w:t xml:space="preserve">by 1 March annually. </w:t>
      </w:r>
    </w:p>
    <w:p w14:paraId="344CDD91" w14:textId="77777777" w:rsidR="000F46FF" w:rsidRDefault="000F46FF" w:rsidP="00B70B69">
      <w:pPr>
        <w:pStyle w:val="HPRAMainBodyText"/>
      </w:pPr>
    </w:p>
    <w:p w14:paraId="03DCDE6B" w14:textId="086E7D3F" w:rsidR="005E7F5F" w:rsidRDefault="000F46FF" w:rsidP="00B70B69">
      <w:pPr>
        <w:pStyle w:val="HPRAMainBodyText"/>
      </w:pPr>
      <w:r>
        <w:t>Reports can also be submitted in hard copy. The r</w:t>
      </w:r>
      <w:r w:rsidR="005E7F5F" w:rsidRPr="00B70B69">
        <w:t>elevant addresses are included on the annual report forms.</w:t>
      </w:r>
    </w:p>
    <w:p w14:paraId="4B4D6113" w14:textId="77777777" w:rsidR="005E7F5F" w:rsidRPr="00B70B69" w:rsidRDefault="005E7F5F" w:rsidP="00B70B69">
      <w:pPr>
        <w:pStyle w:val="HPRAMainBodyText"/>
      </w:pPr>
    </w:p>
    <w:p w14:paraId="7291E433" w14:textId="47FA62D0" w:rsidR="005E7F5F" w:rsidRPr="00B70B69" w:rsidRDefault="00DD0C7D" w:rsidP="00B70B69">
      <w:pPr>
        <w:pStyle w:val="HPRAMainBodyText"/>
        <w:rPr>
          <w:i/>
        </w:rPr>
      </w:pPr>
      <w:r w:rsidRPr="00B70B69">
        <w:rPr>
          <w:i/>
        </w:rPr>
        <w:t>N</w:t>
      </w:r>
      <w:r>
        <w:rPr>
          <w:i/>
        </w:rPr>
        <w:t>ote</w:t>
      </w:r>
      <w:r w:rsidR="005E7F5F" w:rsidRPr="00B70B69">
        <w:rPr>
          <w:i/>
        </w:rPr>
        <w:t xml:space="preserve">: Each annual report submitted to the </w:t>
      </w:r>
      <w:r w:rsidR="007A23DA">
        <w:rPr>
          <w:i/>
        </w:rPr>
        <w:t>HPRA</w:t>
      </w:r>
      <w:r w:rsidR="005E7F5F" w:rsidRPr="00B70B69">
        <w:rPr>
          <w:i/>
        </w:rPr>
        <w:t xml:space="preserve"> must contain appropriate signatures in sections 7 and 8</w:t>
      </w:r>
      <w:r w:rsidR="00F74A89">
        <w:rPr>
          <w:i/>
        </w:rPr>
        <w:t>.</w:t>
      </w:r>
      <w:r w:rsidR="005E7F5F" w:rsidRPr="00B70B69">
        <w:rPr>
          <w:i/>
        </w:rPr>
        <w:t xml:space="preserve"> </w:t>
      </w:r>
      <w:r w:rsidR="00F74A89">
        <w:rPr>
          <w:i/>
        </w:rPr>
        <w:t>U</w:t>
      </w:r>
      <w:r w:rsidR="005E7F5F" w:rsidRPr="00B70B69">
        <w:rPr>
          <w:i/>
        </w:rPr>
        <w:t>nsigned Word documents are not acceptable.</w:t>
      </w:r>
    </w:p>
    <w:p w14:paraId="61EC719C" w14:textId="77777777" w:rsidR="005E7F5F" w:rsidRPr="00B70B69" w:rsidRDefault="005E7F5F" w:rsidP="00B70B69">
      <w:pPr>
        <w:pStyle w:val="HPRAMainBodyText"/>
      </w:pPr>
    </w:p>
    <w:p w14:paraId="46CF5BE4" w14:textId="77777777" w:rsidR="005E7F5F" w:rsidRPr="00B70B69" w:rsidRDefault="005E7F5F" w:rsidP="00B70B69">
      <w:pPr>
        <w:pStyle w:val="HPRAMainBodyText"/>
        <w:rPr>
          <w:b/>
          <w:color w:val="007041" w:themeColor="accent4"/>
        </w:rPr>
      </w:pPr>
      <w:r w:rsidRPr="00B70B69">
        <w:rPr>
          <w:b/>
          <w:color w:val="007041" w:themeColor="accent4"/>
        </w:rPr>
        <w:t>Fees</w:t>
      </w:r>
    </w:p>
    <w:p w14:paraId="1C051B16" w14:textId="77777777" w:rsidR="005E7F5F" w:rsidRPr="00B70B69" w:rsidRDefault="005E7F5F" w:rsidP="00B70B69">
      <w:pPr>
        <w:pStyle w:val="HPRAMainBodyText"/>
      </w:pPr>
    </w:p>
    <w:p w14:paraId="0AECEBFE" w14:textId="77777777" w:rsidR="005E7F5F" w:rsidRPr="00B70B69" w:rsidRDefault="005E7F5F" w:rsidP="00B70B69">
      <w:pPr>
        <w:pStyle w:val="HPRAMainBodyText"/>
      </w:pPr>
      <w:r w:rsidRPr="00B70B69">
        <w:t xml:space="preserve">Annually, a flat rate administrative fee will be charged to all hospital blood banks for submission of the hospital blood bank annual report. The fee code for this charge is 330. </w:t>
      </w:r>
    </w:p>
    <w:p w14:paraId="3E263050" w14:textId="77777777" w:rsidR="005E7F5F" w:rsidRPr="00B70B69" w:rsidRDefault="005E7F5F" w:rsidP="00B70B69">
      <w:pPr>
        <w:pStyle w:val="HPRAMainBodyText"/>
      </w:pPr>
    </w:p>
    <w:p w14:paraId="5A183A03" w14:textId="4165BECA" w:rsidR="005E7F5F" w:rsidRPr="000E07B3" w:rsidRDefault="009F249A" w:rsidP="00B70B69">
      <w:pPr>
        <w:pStyle w:val="HPRAMainBodyText"/>
        <w:rPr>
          <w:rStyle w:val="Hyperlink"/>
          <w:rFonts w:ascii="Times New Roman" w:eastAsia="MS Mincho" w:hAnsi="Times New Roman"/>
          <w:color w:val="005390"/>
          <w:sz w:val="22"/>
          <w:szCs w:val="22"/>
          <w:u w:val="none"/>
          <w:lang w:eastAsia="en-IE"/>
        </w:rPr>
      </w:pPr>
      <w:r>
        <w:t>Please see</w:t>
      </w:r>
      <w:r w:rsidR="005E7F5F" w:rsidRPr="00B70B69">
        <w:t xml:space="preserve"> </w:t>
      </w:r>
      <w:hyperlink r:id="rId17" w:history="1">
        <w:r w:rsidR="006E1B54" w:rsidRPr="002677E0">
          <w:rPr>
            <w:rStyle w:val="Hyperlink"/>
            <w:color w:val="004089" w:themeColor="accent3" w:themeShade="BF"/>
            <w:u w:val="none"/>
          </w:rPr>
          <w:t>www.hpra.ie</w:t>
        </w:r>
      </w:hyperlink>
      <w:r w:rsidR="006E1B54">
        <w:t xml:space="preserve"> </w:t>
      </w:r>
      <w:r w:rsidR="005E7F5F" w:rsidRPr="00B70B69">
        <w:t>for further inf</w:t>
      </w:r>
      <w:r w:rsidR="006E1B54">
        <w:t>ormation on the payment of fees.</w:t>
      </w:r>
      <w:r w:rsidR="006E1B54" w:rsidRPr="000E07B3">
        <w:rPr>
          <w:rStyle w:val="Hyperlink"/>
          <w:rFonts w:ascii="Times New Roman" w:eastAsia="MS Mincho" w:hAnsi="Times New Roman"/>
          <w:color w:val="005390"/>
          <w:sz w:val="22"/>
          <w:szCs w:val="22"/>
          <w:u w:val="none"/>
          <w:lang w:eastAsia="en-IE"/>
        </w:rPr>
        <w:t xml:space="preserve"> </w:t>
      </w:r>
    </w:p>
    <w:p w14:paraId="6E7673D5" w14:textId="77777777" w:rsidR="00B70B69" w:rsidRPr="00B70B69" w:rsidRDefault="00B70B69" w:rsidP="00B70B69">
      <w:pPr>
        <w:pStyle w:val="HPRAMainBodyText"/>
      </w:pPr>
    </w:p>
    <w:p w14:paraId="51469E0D" w14:textId="77777777" w:rsidR="005E7F5F" w:rsidRPr="00B70B69" w:rsidRDefault="005E7F5F" w:rsidP="00B70B69">
      <w:pPr>
        <w:pStyle w:val="HPRAMainBodyText"/>
      </w:pPr>
      <w:r w:rsidRPr="00B70B69">
        <w:t xml:space="preserve">Alternatively, please provide a purchase order number and contact details for invoicing in section 9 of the hospital blood bank annual report and the Accounts section of the </w:t>
      </w:r>
      <w:r w:rsidR="007A23DA">
        <w:t>HPRA</w:t>
      </w:r>
      <w:r w:rsidR="00833EAF">
        <w:t xml:space="preserve"> will follow up accordingly.</w:t>
      </w:r>
    </w:p>
    <w:p w14:paraId="1D2A3350" w14:textId="77777777" w:rsidR="005E7F5F" w:rsidRPr="00B70B69" w:rsidRDefault="005E7F5F" w:rsidP="00B70B69">
      <w:pPr>
        <w:pStyle w:val="HPRAMainBodyText"/>
      </w:pPr>
    </w:p>
    <w:p w14:paraId="76FF4EB0" w14:textId="77777777" w:rsidR="005E7F5F" w:rsidRPr="00B70B69" w:rsidRDefault="005E7F5F" w:rsidP="00B70B69">
      <w:pPr>
        <w:pStyle w:val="HPRAMainBodyText"/>
        <w:rPr>
          <w:b/>
          <w:color w:val="007041" w:themeColor="accent4"/>
        </w:rPr>
      </w:pPr>
      <w:r w:rsidRPr="00B70B69">
        <w:rPr>
          <w:b/>
          <w:color w:val="007041" w:themeColor="accent4"/>
        </w:rPr>
        <w:t>Any questions?</w:t>
      </w:r>
    </w:p>
    <w:p w14:paraId="3B7AB2D8" w14:textId="77777777" w:rsidR="005E7F5F" w:rsidRPr="00B70B69" w:rsidRDefault="005E7F5F" w:rsidP="00B70B69">
      <w:pPr>
        <w:pStyle w:val="HPRAMainBodyText"/>
      </w:pPr>
    </w:p>
    <w:p w14:paraId="6D2BDA83" w14:textId="17C32C9F" w:rsidR="000F46FF" w:rsidRDefault="00F74A89" w:rsidP="00B70B69">
      <w:pPr>
        <w:pStyle w:val="HPRAMainBodyText"/>
        <w:rPr>
          <w:szCs w:val="22"/>
        </w:rPr>
      </w:pPr>
      <w:r>
        <w:t>See section 3 of this document for</w:t>
      </w:r>
      <w:r w:rsidR="005E7F5F" w:rsidRPr="00B70B69">
        <w:t xml:space="preserve"> brief guidance notes on the completion of the annual report. If you have any other queries</w:t>
      </w:r>
      <w:r>
        <w:t>,</w:t>
      </w:r>
      <w:r w:rsidR="005E7F5F" w:rsidRPr="00B70B69">
        <w:t xml:space="preserve"> please email</w:t>
      </w:r>
      <w:r w:rsidR="005E7F5F" w:rsidRPr="00B70B69">
        <w:rPr>
          <w:rStyle w:val="Hyperlink"/>
          <w:color w:val="auto"/>
          <w:u w:val="none"/>
        </w:rPr>
        <w:t xml:space="preserve"> </w:t>
      </w:r>
      <w:hyperlink r:id="rId18" w:history="1">
        <w:r w:rsidR="00E639BA" w:rsidRPr="002677E0">
          <w:rPr>
            <w:rStyle w:val="Hyperlink"/>
            <w:color w:val="004089" w:themeColor="accent3" w:themeShade="BF"/>
            <w:szCs w:val="22"/>
            <w:u w:val="none"/>
          </w:rPr>
          <w:t>hbbar@hpra.ie</w:t>
        </w:r>
      </w:hyperlink>
      <w:r w:rsidR="00E639BA">
        <w:rPr>
          <w:szCs w:val="22"/>
        </w:rPr>
        <w:t>.</w:t>
      </w:r>
    </w:p>
    <w:p w14:paraId="466ACFD2" w14:textId="77777777" w:rsidR="000F46FF" w:rsidRDefault="000F46FF">
      <w:pPr>
        <w:rPr>
          <w:rFonts w:ascii="Segoe UI" w:hAnsi="Segoe UI" w:cs="Segoe UI"/>
          <w:sz w:val="20"/>
        </w:rPr>
      </w:pPr>
      <w:r>
        <w:br w:type="page"/>
      </w:r>
    </w:p>
    <w:p w14:paraId="24F889CC" w14:textId="77777777" w:rsidR="00B70B69" w:rsidRDefault="00B70B69">
      <w:pPr>
        <w:rPr>
          <w:rFonts w:ascii="Segoe UI" w:hAnsi="Segoe UI" w:cs="Segoe UI"/>
          <w:sz w:val="20"/>
          <w:szCs w:val="20"/>
        </w:rPr>
      </w:pPr>
    </w:p>
    <w:p w14:paraId="6DCB2F99" w14:textId="77777777" w:rsidR="005E7F5F" w:rsidRPr="00B70B69" w:rsidRDefault="005E7F5F" w:rsidP="00B70B69">
      <w:pPr>
        <w:pStyle w:val="HPRAMainBodyText"/>
        <w:rPr>
          <w:b/>
          <w:color w:val="007041" w:themeColor="accent4"/>
        </w:rPr>
      </w:pPr>
      <w:r w:rsidRPr="00B70B69">
        <w:rPr>
          <w:b/>
          <w:color w:val="007041" w:themeColor="accent4"/>
        </w:rPr>
        <w:t xml:space="preserve">What does the </w:t>
      </w:r>
      <w:r w:rsidR="007A23DA">
        <w:rPr>
          <w:b/>
          <w:color w:val="007041" w:themeColor="accent4"/>
        </w:rPr>
        <w:t>HPRA</w:t>
      </w:r>
      <w:r w:rsidRPr="00B70B69">
        <w:rPr>
          <w:b/>
          <w:color w:val="007041" w:themeColor="accent4"/>
        </w:rPr>
        <w:t xml:space="preserve"> do with the information provided in the annual report?</w:t>
      </w:r>
    </w:p>
    <w:p w14:paraId="26EDEE47" w14:textId="77777777" w:rsidR="005E7F5F" w:rsidRPr="00B70B69" w:rsidRDefault="005E7F5F" w:rsidP="00B70B69">
      <w:pPr>
        <w:pStyle w:val="HPRAMainBodyText"/>
      </w:pPr>
    </w:p>
    <w:p w14:paraId="10DAF0A3" w14:textId="77777777" w:rsidR="005E7F5F" w:rsidRPr="00B70B69" w:rsidRDefault="005E7F5F" w:rsidP="00B70B69">
      <w:pPr>
        <w:pStyle w:val="HPRAMainBodyText"/>
        <w:rPr>
          <w:szCs w:val="22"/>
        </w:rPr>
      </w:pPr>
      <w:r w:rsidRPr="00B70B69">
        <w:rPr>
          <w:szCs w:val="22"/>
        </w:rPr>
        <w:t xml:space="preserve">The </w:t>
      </w:r>
      <w:r w:rsidR="007A23DA">
        <w:rPr>
          <w:szCs w:val="22"/>
        </w:rPr>
        <w:t>HPRA</w:t>
      </w:r>
      <w:r w:rsidRPr="00B70B69">
        <w:rPr>
          <w:szCs w:val="22"/>
        </w:rPr>
        <w:t xml:space="preserve"> will assess the level of compliance with the requirements of S.I. 360 of 2005. Further information may be requested to help formulate an accurate assessment of compliance status. If there is uncertainty relating to the level of compliance or the accreditation status of the hospital blood bank to the ISO 15189 standard, the </w:t>
      </w:r>
      <w:r w:rsidR="007A23DA">
        <w:rPr>
          <w:szCs w:val="22"/>
        </w:rPr>
        <w:t>HPRA</w:t>
      </w:r>
      <w:r w:rsidRPr="00B70B69">
        <w:rPr>
          <w:szCs w:val="22"/>
        </w:rPr>
        <w:t xml:space="preserve"> may undertake an inspection of the hospital blood bank.</w:t>
      </w:r>
    </w:p>
    <w:p w14:paraId="3A4E64B2" w14:textId="77777777" w:rsidR="005E7F5F" w:rsidRPr="00B70B69" w:rsidRDefault="005E7F5F" w:rsidP="00B70B69">
      <w:pPr>
        <w:pStyle w:val="HPRAMainBodyText"/>
        <w:rPr>
          <w:szCs w:val="22"/>
        </w:rPr>
      </w:pPr>
    </w:p>
    <w:p w14:paraId="6C79E571" w14:textId="77777777" w:rsidR="005E7F5F" w:rsidRPr="00B70B69" w:rsidRDefault="005E7F5F" w:rsidP="00B70B69">
      <w:pPr>
        <w:pStyle w:val="HPRAMainBodyText"/>
        <w:rPr>
          <w:szCs w:val="22"/>
        </w:rPr>
      </w:pPr>
    </w:p>
    <w:p w14:paraId="1B6405A8" w14:textId="77777777" w:rsidR="005E7F5F" w:rsidRPr="00B70B69" w:rsidRDefault="005E7F5F" w:rsidP="00B70B69">
      <w:pPr>
        <w:pStyle w:val="HPRAHeadingL1"/>
      </w:pPr>
      <w:bookmarkStart w:id="2" w:name="_Toc143933964"/>
      <w:r w:rsidRPr="00B70B69">
        <w:t>notes on the completion of the hospital blood bank annual report</w:t>
      </w:r>
      <w:bookmarkEnd w:id="2"/>
      <w:r w:rsidRPr="00B70B69">
        <w:t xml:space="preserve"> and appendix 1</w:t>
      </w:r>
    </w:p>
    <w:p w14:paraId="6739BD32" w14:textId="77777777" w:rsidR="005E7F5F" w:rsidRPr="00B70B69" w:rsidRDefault="005E7F5F" w:rsidP="00B70B69">
      <w:pPr>
        <w:pStyle w:val="HPRAMainBodyText"/>
      </w:pPr>
    </w:p>
    <w:p w14:paraId="2D1C05BA" w14:textId="3CF6E058" w:rsidR="005E7F5F" w:rsidRPr="00B70B69" w:rsidRDefault="005E7F5F" w:rsidP="00B70B69">
      <w:pPr>
        <w:pStyle w:val="HPRAMainBodyText"/>
        <w:rPr>
          <w:szCs w:val="22"/>
        </w:rPr>
      </w:pPr>
      <w:r w:rsidRPr="00B70B69">
        <w:rPr>
          <w:szCs w:val="22"/>
        </w:rPr>
        <w:t>The hospital blood bank annual report has been amended into a separate form and appendix. Instructions on the completion of these sections, depending on the circumstances of the hospital blood bank and the activities performed on site, have been described above. The following provides guidance notes on the details that are required for each section</w:t>
      </w:r>
      <w:r w:rsidR="00F74A89">
        <w:rPr>
          <w:szCs w:val="22"/>
        </w:rPr>
        <w:t>.</w:t>
      </w:r>
    </w:p>
    <w:p w14:paraId="27146CE4" w14:textId="77777777" w:rsidR="005E7F5F" w:rsidRPr="00B70B69" w:rsidRDefault="005E7F5F" w:rsidP="00B70B69">
      <w:pPr>
        <w:pStyle w:val="HPRAMainBodyText"/>
        <w:rPr>
          <w:szCs w:val="22"/>
        </w:rPr>
      </w:pPr>
    </w:p>
    <w:p w14:paraId="55A222C5" w14:textId="77777777" w:rsidR="005E7F5F" w:rsidRPr="00B70B69" w:rsidRDefault="005E7F5F" w:rsidP="00B70B69">
      <w:pPr>
        <w:pStyle w:val="HPRAMainBodyText"/>
        <w:rPr>
          <w:b/>
          <w:color w:val="007041" w:themeColor="accent4"/>
        </w:rPr>
      </w:pPr>
      <w:r w:rsidRPr="00B70B69">
        <w:rPr>
          <w:b/>
          <w:color w:val="007041" w:themeColor="accent4"/>
        </w:rPr>
        <w:t>Section 1 – Details</w:t>
      </w:r>
    </w:p>
    <w:p w14:paraId="481CC565" w14:textId="77777777" w:rsidR="005E7F5F" w:rsidRPr="00B70B69" w:rsidRDefault="005E7F5F" w:rsidP="00B70B69">
      <w:pPr>
        <w:pStyle w:val="HPRAMainBodyText"/>
        <w:rPr>
          <w:szCs w:val="22"/>
        </w:rPr>
      </w:pPr>
    </w:p>
    <w:p w14:paraId="12CD87C4" w14:textId="77777777" w:rsidR="005E7F5F" w:rsidRPr="00B70B69" w:rsidRDefault="005E7F5F" w:rsidP="00B70B69">
      <w:pPr>
        <w:pStyle w:val="HPRABulletedList"/>
      </w:pPr>
      <w:r w:rsidRPr="00B70B69">
        <w:t>Section 1.3</w:t>
      </w:r>
    </w:p>
    <w:p w14:paraId="71DE1609" w14:textId="6800F3E1" w:rsidR="005E7F5F" w:rsidRPr="00B70B69" w:rsidRDefault="005E7F5F" w:rsidP="00B70B69">
      <w:pPr>
        <w:pStyle w:val="HPRABulletedList"/>
        <w:numPr>
          <w:ilvl w:val="0"/>
          <w:numId w:val="0"/>
        </w:numPr>
        <w:ind w:left="284"/>
        <w:rPr>
          <w:szCs w:val="22"/>
        </w:rPr>
      </w:pPr>
      <w:r w:rsidRPr="00B70B69">
        <w:rPr>
          <w:szCs w:val="22"/>
        </w:rPr>
        <w:t>Enter 24</w:t>
      </w:r>
      <w:r w:rsidR="00F74A89">
        <w:rPr>
          <w:szCs w:val="22"/>
        </w:rPr>
        <w:t>-</w:t>
      </w:r>
      <w:r w:rsidRPr="00B70B69">
        <w:rPr>
          <w:szCs w:val="22"/>
        </w:rPr>
        <w:t>hour contact phone number/s for the blood transfusion laboratory if available. These may be required during the investigation of serious adverse events or serious adverse reactions and in the event of a large</w:t>
      </w:r>
      <w:r w:rsidR="00F74A89">
        <w:rPr>
          <w:szCs w:val="22"/>
        </w:rPr>
        <w:t>-</w:t>
      </w:r>
      <w:r w:rsidRPr="00B70B69">
        <w:rPr>
          <w:szCs w:val="22"/>
        </w:rPr>
        <w:t>scale recall.</w:t>
      </w:r>
    </w:p>
    <w:p w14:paraId="70003B12" w14:textId="77777777" w:rsidR="005E7F5F" w:rsidRPr="00B70B69" w:rsidRDefault="005E7F5F" w:rsidP="00833EAF">
      <w:pPr>
        <w:pStyle w:val="HPRABulletedList"/>
        <w:numPr>
          <w:ilvl w:val="0"/>
          <w:numId w:val="0"/>
        </w:numPr>
        <w:ind w:left="284" w:hanging="284"/>
        <w:rPr>
          <w:szCs w:val="22"/>
        </w:rPr>
      </w:pPr>
    </w:p>
    <w:p w14:paraId="53E71FA4" w14:textId="77777777" w:rsidR="005E7F5F" w:rsidRPr="00B70B69" w:rsidRDefault="005E7F5F" w:rsidP="00B70B69">
      <w:pPr>
        <w:pStyle w:val="HPRABulletedList"/>
        <w:rPr>
          <w:szCs w:val="22"/>
        </w:rPr>
      </w:pPr>
      <w:r w:rsidRPr="00B70B69">
        <w:rPr>
          <w:szCs w:val="22"/>
        </w:rPr>
        <w:t>Section 1.4</w:t>
      </w:r>
    </w:p>
    <w:p w14:paraId="64B5CB64" w14:textId="77777777" w:rsidR="005E7F5F" w:rsidRPr="00B70B69" w:rsidRDefault="005E7F5F" w:rsidP="00B70B69">
      <w:pPr>
        <w:pStyle w:val="HPRABulletedList"/>
        <w:numPr>
          <w:ilvl w:val="0"/>
          <w:numId w:val="0"/>
        </w:numPr>
        <w:ind w:left="284"/>
        <w:rPr>
          <w:szCs w:val="22"/>
        </w:rPr>
      </w:pPr>
      <w:r w:rsidRPr="00B70B69">
        <w:rPr>
          <w:szCs w:val="22"/>
        </w:rPr>
        <w:t>Enter the name and contact details of an appropriate person</w:t>
      </w:r>
      <w:r w:rsidR="000F46FF">
        <w:rPr>
          <w:szCs w:val="22"/>
        </w:rPr>
        <w:t>,</w:t>
      </w:r>
      <w:r w:rsidRPr="00B70B69">
        <w:rPr>
          <w:szCs w:val="22"/>
        </w:rPr>
        <w:t xml:space="preserve"> e.g. Chief Medical Scientist in Transfusion or Laboratory Manager. This person should be familiar with the day-to-day running of the hospital blood bank and the provision of transfusion services. This person should complete the hospital blood bank annual report, sign the completion of annual report section (section 7) and be available to clarify information required by the </w:t>
      </w:r>
      <w:r w:rsidR="007A23DA">
        <w:rPr>
          <w:szCs w:val="22"/>
        </w:rPr>
        <w:t>HPRA</w:t>
      </w:r>
      <w:r w:rsidRPr="00B70B69">
        <w:rPr>
          <w:szCs w:val="22"/>
        </w:rPr>
        <w:t xml:space="preserve"> in relation to the annual report.</w:t>
      </w:r>
    </w:p>
    <w:p w14:paraId="2D489BFD" w14:textId="77777777" w:rsidR="005E7F5F" w:rsidRPr="00B70B69" w:rsidRDefault="005E7F5F" w:rsidP="00833EAF">
      <w:pPr>
        <w:pStyle w:val="HPRABulletedList"/>
        <w:numPr>
          <w:ilvl w:val="0"/>
          <w:numId w:val="0"/>
        </w:numPr>
        <w:ind w:left="284" w:hanging="284"/>
        <w:rPr>
          <w:szCs w:val="22"/>
        </w:rPr>
      </w:pPr>
    </w:p>
    <w:p w14:paraId="5594F886" w14:textId="77777777" w:rsidR="005E7F5F" w:rsidRPr="00B70B69" w:rsidRDefault="005E7F5F" w:rsidP="00B70B69">
      <w:pPr>
        <w:pStyle w:val="HPRABulletedList"/>
        <w:rPr>
          <w:szCs w:val="22"/>
        </w:rPr>
      </w:pPr>
      <w:r w:rsidRPr="00B70B69">
        <w:rPr>
          <w:szCs w:val="22"/>
        </w:rPr>
        <w:t>Section 1.5</w:t>
      </w:r>
    </w:p>
    <w:p w14:paraId="4F0F0EAF" w14:textId="77777777" w:rsidR="005E7F5F" w:rsidRPr="00B70B69" w:rsidRDefault="005E7F5F" w:rsidP="00B70B69">
      <w:pPr>
        <w:pStyle w:val="HPRABulletedList"/>
        <w:numPr>
          <w:ilvl w:val="0"/>
          <w:numId w:val="0"/>
        </w:numPr>
        <w:ind w:left="284"/>
        <w:rPr>
          <w:szCs w:val="22"/>
        </w:rPr>
      </w:pPr>
      <w:r w:rsidRPr="00B70B69">
        <w:rPr>
          <w:szCs w:val="22"/>
        </w:rPr>
        <w:t>Enter the name and contact detail for the Haemovigilance Officer(s) or equivalent within the hospital. One or more names may be entered here.</w:t>
      </w:r>
    </w:p>
    <w:p w14:paraId="0FB33FE5" w14:textId="77777777" w:rsidR="005E7F5F" w:rsidRPr="00B70B69" w:rsidRDefault="005E7F5F" w:rsidP="00833EAF">
      <w:pPr>
        <w:pStyle w:val="HPRABulletedList"/>
        <w:numPr>
          <w:ilvl w:val="0"/>
          <w:numId w:val="0"/>
        </w:numPr>
        <w:ind w:left="284" w:hanging="284"/>
        <w:rPr>
          <w:szCs w:val="22"/>
        </w:rPr>
      </w:pPr>
    </w:p>
    <w:p w14:paraId="6AA6F261" w14:textId="77777777" w:rsidR="005E7F5F" w:rsidRPr="00B70B69" w:rsidRDefault="005E7F5F" w:rsidP="00B70B69">
      <w:pPr>
        <w:pStyle w:val="HPRABulletedList"/>
        <w:rPr>
          <w:szCs w:val="22"/>
        </w:rPr>
      </w:pPr>
      <w:r w:rsidRPr="00B70B69">
        <w:rPr>
          <w:szCs w:val="22"/>
        </w:rPr>
        <w:t>Section 1.6</w:t>
      </w:r>
    </w:p>
    <w:p w14:paraId="21AD6A4D" w14:textId="77777777" w:rsidR="00B70B69" w:rsidRDefault="005E7F5F" w:rsidP="00B70B69">
      <w:pPr>
        <w:pStyle w:val="HPRABulletedList"/>
        <w:numPr>
          <w:ilvl w:val="0"/>
          <w:numId w:val="0"/>
        </w:numPr>
        <w:ind w:left="284"/>
        <w:rPr>
          <w:szCs w:val="22"/>
        </w:rPr>
      </w:pPr>
      <w:r w:rsidRPr="00B70B69">
        <w:rPr>
          <w:szCs w:val="22"/>
        </w:rPr>
        <w:t>Provide the name of the blood establishments or hospital blood banks which supply blood components to your hospital blood bank. This may be a blood establishment or another hospital with which you share blood components or have a service level agreement or contract or policy with for the supply of blood and blood components. If the supplying blood establishment is the Irish Blood Transfusion Service, please indicate if it is the National Blood Centre or the Munster Regional Transfusion Centre.</w:t>
      </w:r>
    </w:p>
    <w:p w14:paraId="14D3D781" w14:textId="77777777" w:rsidR="00B70B69" w:rsidRDefault="00B70B69">
      <w:pPr>
        <w:rPr>
          <w:rFonts w:ascii="Segoe UI" w:hAnsi="Segoe UI" w:cs="Segoe UI"/>
          <w:sz w:val="20"/>
        </w:rPr>
      </w:pPr>
    </w:p>
    <w:p w14:paraId="1DFF26F0" w14:textId="77777777" w:rsidR="005E7F5F" w:rsidRPr="00B70B69" w:rsidRDefault="005E7F5F" w:rsidP="00B70B69">
      <w:pPr>
        <w:pStyle w:val="HPRAMainBodyText"/>
        <w:rPr>
          <w:b/>
          <w:color w:val="007041" w:themeColor="accent4"/>
        </w:rPr>
      </w:pPr>
      <w:r w:rsidRPr="00B70B69">
        <w:rPr>
          <w:b/>
          <w:color w:val="007041" w:themeColor="accent4"/>
        </w:rPr>
        <w:t>Section 2 – Activities undertaken</w:t>
      </w:r>
    </w:p>
    <w:p w14:paraId="60858C11" w14:textId="77777777" w:rsidR="005E7F5F" w:rsidRPr="00B70B69" w:rsidRDefault="005E7F5F" w:rsidP="00B70B69">
      <w:pPr>
        <w:pStyle w:val="HPRAMainBodyText"/>
        <w:rPr>
          <w:szCs w:val="22"/>
        </w:rPr>
      </w:pPr>
    </w:p>
    <w:p w14:paraId="7E5B61EE" w14:textId="77777777" w:rsidR="005E7F5F" w:rsidRPr="00B70B69" w:rsidRDefault="005E7F5F" w:rsidP="00B70B69">
      <w:pPr>
        <w:pStyle w:val="HPRABulletedList"/>
      </w:pPr>
      <w:r w:rsidRPr="00B70B69">
        <w:t>Section 2.1</w:t>
      </w:r>
    </w:p>
    <w:p w14:paraId="12C8EE09" w14:textId="77777777" w:rsidR="005E7F5F" w:rsidRPr="00B70B69" w:rsidRDefault="005E7F5F" w:rsidP="00B70B69">
      <w:pPr>
        <w:pStyle w:val="HPRABulletedList"/>
        <w:numPr>
          <w:ilvl w:val="0"/>
          <w:numId w:val="0"/>
        </w:numPr>
        <w:ind w:left="284"/>
      </w:pPr>
      <w:r w:rsidRPr="00B70B69">
        <w:t xml:space="preserve">Tick ‘yes’ or ‘no’ beside each activity specified in this section. It is likely that most hospital blood banks will be involved in the storage of blood and blood components, the distribution and/or transport of blood and blood components and the testing (including all pre-transfusion testing) of all blood and blood components. </w:t>
      </w:r>
    </w:p>
    <w:p w14:paraId="41608B70" w14:textId="77777777" w:rsidR="005E7F5F" w:rsidRPr="00B70B69" w:rsidRDefault="005E7F5F" w:rsidP="00833EAF">
      <w:pPr>
        <w:pStyle w:val="HPRABulletedList"/>
        <w:numPr>
          <w:ilvl w:val="0"/>
          <w:numId w:val="0"/>
        </w:numPr>
        <w:ind w:left="284" w:hanging="284"/>
      </w:pPr>
    </w:p>
    <w:p w14:paraId="2FD21C0F" w14:textId="77777777" w:rsidR="005E7F5F" w:rsidRPr="00B70B69" w:rsidRDefault="005E7F5F" w:rsidP="00B70B69">
      <w:pPr>
        <w:pStyle w:val="HPRABulletedList"/>
      </w:pPr>
      <w:r w:rsidRPr="00B70B69">
        <w:t>Section 2.2</w:t>
      </w:r>
    </w:p>
    <w:p w14:paraId="2A8B3328" w14:textId="77777777" w:rsidR="005E7F5F" w:rsidRPr="00B70B69" w:rsidRDefault="005E7F5F" w:rsidP="00B70B69">
      <w:pPr>
        <w:pStyle w:val="HPRABulletedList"/>
        <w:numPr>
          <w:ilvl w:val="0"/>
          <w:numId w:val="0"/>
        </w:numPr>
        <w:ind w:left="284"/>
      </w:pPr>
      <w:r w:rsidRPr="00B70B69">
        <w:t>Provide the number of ‘group and save samples’ processed, the number of ‘crossmatch’ samples processed and the number of ‘antibody identifications’ performed by the blood transfusion laboratory annually beginning 1 January and ending 31 December.</w:t>
      </w:r>
    </w:p>
    <w:p w14:paraId="393658DA" w14:textId="77777777" w:rsidR="005E7F5F" w:rsidRPr="00B70B69" w:rsidRDefault="005E7F5F" w:rsidP="00833EAF">
      <w:pPr>
        <w:pStyle w:val="HPRABulletedList"/>
        <w:numPr>
          <w:ilvl w:val="0"/>
          <w:numId w:val="0"/>
        </w:numPr>
        <w:ind w:left="284" w:hanging="284"/>
      </w:pPr>
    </w:p>
    <w:p w14:paraId="74FB7C6F" w14:textId="77777777" w:rsidR="005E7F5F" w:rsidRPr="00B70B69" w:rsidRDefault="005E7F5F" w:rsidP="00B70B69">
      <w:pPr>
        <w:pStyle w:val="HPRABulletedList"/>
      </w:pPr>
      <w:r w:rsidRPr="00B70B69">
        <w:t>Section 2.3</w:t>
      </w:r>
    </w:p>
    <w:p w14:paraId="6EE194F9" w14:textId="77777777" w:rsidR="005E7F5F" w:rsidRPr="00B70B69" w:rsidRDefault="005E7F5F" w:rsidP="00B70B69">
      <w:pPr>
        <w:pStyle w:val="HPRABulletedList"/>
        <w:numPr>
          <w:ilvl w:val="0"/>
          <w:numId w:val="0"/>
        </w:numPr>
        <w:ind w:left="284"/>
      </w:pPr>
      <w:r w:rsidRPr="00B70B69">
        <w:t>Give details regarding blood usage annually beginning 1 January and ending 31 December. Please note the terms used in this section should be interpreted as follows:</w:t>
      </w:r>
    </w:p>
    <w:p w14:paraId="5F1D0EF7" w14:textId="77777777" w:rsidR="005E7F5F" w:rsidRPr="00B70B69" w:rsidRDefault="005E7F5F" w:rsidP="00B70B69">
      <w:pPr>
        <w:pStyle w:val="HPRABulletedList"/>
        <w:numPr>
          <w:ilvl w:val="0"/>
          <w:numId w:val="0"/>
        </w:numPr>
        <w:ind w:left="284"/>
      </w:pPr>
      <w:r w:rsidRPr="00B70B69">
        <w:rPr>
          <w:b/>
        </w:rPr>
        <w:t>Received</w:t>
      </w:r>
      <w:r w:rsidRPr="00B70B69">
        <w:t xml:space="preserve"> = Number of units received from supplying blood establishment/hospital blood bank</w:t>
      </w:r>
    </w:p>
    <w:p w14:paraId="78D3F2F8" w14:textId="77777777" w:rsidR="005E7F5F" w:rsidRPr="00B70B69" w:rsidRDefault="005E7F5F" w:rsidP="00B70B69">
      <w:pPr>
        <w:pStyle w:val="HPRABulletedList"/>
        <w:numPr>
          <w:ilvl w:val="0"/>
          <w:numId w:val="0"/>
        </w:numPr>
        <w:ind w:left="284"/>
      </w:pPr>
      <w:r w:rsidRPr="00B70B69">
        <w:rPr>
          <w:b/>
        </w:rPr>
        <w:t>Issued</w:t>
      </w:r>
      <w:r w:rsidRPr="00B70B69">
        <w:t xml:space="preserve"> = Number of units issued for transfusion</w:t>
      </w:r>
    </w:p>
    <w:p w14:paraId="761CFABE" w14:textId="77777777" w:rsidR="005E7F5F" w:rsidRPr="00B70B69" w:rsidRDefault="005E7F5F" w:rsidP="00B70B69">
      <w:pPr>
        <w:pStyle w:val="HPRABulletedList"/>
        <w:numPr>
          <w:ilvl w:val="0"/>
          <w:numId w:val="0"/>
        </w:numPr>
        <w:ind w:left="284"/>
      </w:pPr>
      <w:r w:rsidRPr="00B70B69">
        <w:rPr>
          <w:b/>
        </w:rPr>
        <w:t>Transfused</w:t>
      </w:r>
      <w:r w:rsidRPr="00B70B69">
        <w:t xml:space="preserve"> = Number of units transfused and the number of recipients transfused </w:t>
      </w:r>
    </w:p>
    <w:p w14:paraId="50CC4588" w14:textId="77777777" w:rsidR="005E7F5F" w:rsidRPr="00B70B69" w:rsidRDefault="005E7F5F" w:rsidP="00B70B69">
      <w:pPr>
        <w:pStyle w:val="HPRABulletedList"/>
        <w:numPr>
          <w:ilvl w:val="0"/>
          <w:numId w:val="0"/>
        </w:numPr>
        <w:ind w:left="284"/>
      </w:pPr>
      <w:r w:rsidRPr="00B70B69">
        <w:rPr>
          <w:b/>
        </w:rPr>
        <w:t>Discarded</w:t>
      </w:r>
      <w:r w:rsidRPr="00B70B69">
        <w:t xml:space="preserve"> = Number of units to include both laboratory and clinical discards</w:t>
      </w:r>
    </w:p>
    <w:p w14:paraId="47944BA5" w14:textId="77777777" w:rsidR="005E7F5F" w:rsidRPr="00B70B69" w:rsidRDefault="005E7F5F" w:rsidP="00B70B69">
      <w:pPr>
        <w:pStyle w:val="HPRABulletedList"/>
        <w:numPr>
          <w:ilvl w:val="0"/>
          <w:numId w:val="0"/>
        </w:numPr>
        <w:ind w:left="284"/>
      </w:pPr>
      <w:r w:rsidRPr="00B70B69">
        <w:rPr>
          <w:b/>
        </w:rPr>
        <w:t>Expired</w:t>
      </w:r>
      <w:r w:rsidRPr="00B70B69">
        <w:t xml:space="preserve"> = Number of units which expired in the hospital blood bank without being transfused</w:t>
      </w:r>
    </w:p>
    <w:p w14:paraId="1F26DF98" w14:textId="1522C0B2" w:rsidR="005E7F5F" w:rsidRPr="00B70B69" w:rsidRDefault="005E7F5F" w:rsidP="00B70B69">
      <w:pPr>
        <w:pStyle w:val="HPRABulletedList"/>
        <w:numPr>
          <w:ilvl w:val="0"/>
          <w:numId w:val="0"/>
        </w:numPr>
        <w:ind w:left="284"/>
      </w:pPr>
      <w:r w:rsidRPr="00B70B69">
        <w:rPr>
          <w:b/>
        </w:rPr>
        <w:t>Returned</w:t>
      </w:r>
      <w:r w:rsidRPr="00B70B69">
        <w:t xml:space="preserve"> = Number of units returned to the supplying blood establishment (in date)/re-routed to the supplying hospital blood bank for subsequent use</w:t>
      </w:r>
    </w:p>
    <w:p w14:paraId="315C9E37" w14:textId="77777777" w:rsidR="005E7F5F" w:rsidRPr="00B70B69" w:rsidRDefault="005E7F5F" w:rsidP="00833EAF">
      <w:pPr>
        <w:pStyle w:val="HPRABulletedList"/>
        <w:numPr>
          <w:ilvl w:val="0"/>
          <w:numId w:val="0"/>
        </w:numPr>
        <w:ind w:left="284" w:hanging="284"/>
      </w:pPr>
    </w:p>
    <w:p w14:paraId="492E6F35" w14:textId="77777777" w:rsidR="005E7F5F" w:rsidRPr="00B70B69" w:rsidRDefault="005E7F5F" w:rsidP="00B70B69">
      <w:pPr>
        <w:pStyle w:val="HPRABulletedList"/>
      </w:pPr>
      <w:r w:rsidRPr="00B70B69">
        <w:t>Section 2.4</w:t>
      </w:r>
    </w:p>
    <w:p w14:paraId="156D2C2F" w14:textId="77777777" w:rsidR="005E7F5F" w:rsidRPr="00B70B69" w:rsidRDefault="00C54381" w:rsidP="00C54381">
      <w:pPr>
        <w:pStyle w:val="HPRABulletedList"/>
        <w:numPr>
          <w:ilvl w:val="0"/>
          <w:numId w:val="0"/>
        </w:numPr>
        <w:ind w:left="284"/>
      </w:pPr>
      <w:r>
        <w:t>Provide</w:t>
      </w:r>
      <w:r w:rsidRPr="00B70B69">
        <w:t xml:space="preserve"> details regarding the type</w:t>
      </w:r>
      <w:r>
        <w:t xml:space="preserve"> and number</w:t>
      </w:r>
      <w:r w:rsidRPr="00B70B69">
        <w:t xml:space="preserve"> of </w:t>
      </w:r>
      <w:r w:rsidR="005C4337">
        <w:t>blood/</w:t>
      </w:r>
      <w:r w:rsidRPr="00B70B69">
        <w:t xml:space="preserve">blood components </w:t>
      </w:r>
      <w:r>
        <w:t>supplied to any other hospital(s) through rerouting schemes</w:t>
      </w:r>
      <w:r w:rsidRPr="00722762">
        <w:t xml:space="preserve"> </w:t>
      </w:r>
      <w:r w:rsidRPr="00B70B69">
        <w:t>annually beginning 1 January and ending 31 December</w:t>
      </w:r>
      <w:r>
        <w:t xml:space="preserve">. </w:t>
      </w:r>
    </w:p>
    <w:p w14:paraId="1844B814" w14:textId="77777777" w:rsidR="005E7F5F" w:rsidRPr="00B70B69" w:rsidRDefault="005E7F5F" w:rsidP="00B70B69">
      <w:pPr>
        <w:pStyle w:val="HPRAMainBodyText"/>
      </w:pPr>
    </w:p>
    <w:p w14:paraId="1F56A92A" w14:textId="77777777" w:rsidR="005E7F5F" w:rsidRPr="00B70B69" w:rsidRDefault="005E7F5F" w:rsidP="00B70B69">
      <w:pPr>
        <w:pStyle w:val="HPRAMainBodyText"/>
        <w:rPr>
          <w:b/>
          <w:color w:val="007041" w:themeColor="accent4"/>
        </w:rPr>
      </w:pPr>
      <w:r w:rsidRPr="00B70B69">
        <w:rPr>
          <w:b/>
          <w:color w:val="007041" w:themeColor="accent4"/>
        </w:rPr>
        <w:t>Section 3 – Activities undertaken for facilities</w:t>
      </w:r>
    </w:p>
    <w:p w14:paraId="5AA47830" w14:textId="77777777" w:rsidR="005E7F5F" w:rsidRPr="00B70B69" w:rsidRDefault="005E7F5F" w:rsidP="00B70B69">
      <w:pPr>
        <w:pStyle w:val="HPRAMainBodyText"/>
      </w:pPr>
    </w:p>
    <w:p w14:paraId="72A3B1A9" w14:textId="77777777" w:rsidR="005E7F5F" w:rsidRPr="00B70B69" w:rsidRDefault="005E7F5F" w:rsidP="00B70B69">
      <w:pPr>
        <w:pStyle w:val="HPRAMainBodyText"/>
      </w:pPr>
      <w:r w:rsidRPr="00B70B69">
        <w:t>This information relates to activities undertaken by the hospital bloo</w:t>
      </w:r>
      <w:r w:rsidR="00833EAF">
        <w:t>d bank on behalf of a facility.</w:t>
      </w:r>
    </w:p>
    <w:p w14:paraId="0CE393A3" w14:textId="77777777" w:rsidR="005E7F5F" w:rsidRPr="00B70B69" w:rsidRDefault="005E7F5F" w:rsidP="00B70B69">
      <w:pPr>
        <w:pStyle w:val="HPRAMainBodyText"/>
      </w:pPr>
    </w:p>
    <w:p w14:paraId="11A395C8" w14:textId="77777777" w:rsidR="005E7F5F" w:rsidRPr="00B70B69" w:rsidRDefault="005E7F5F" w:rsidP="00B70B69">
      <w:pPr>
        <w:pStyle w:val="HPRABulletedList"/>
      </w:pPr>
      <w:r w:rsidRPr="00B70B69">
        <w:t>Section 3.5</w:t>
      </w:r>
    </w:p>
    <w:p w14:paraId="4BB5CAA9" w14:textId="77777777" w:rsidR="005E7F5F" w:rsidRPr="00B70B69" w:rsidRDefault="005E7F5F" w:rsidP="00B70B69">
      <w:pPr>
        <w:pStyle w:val="HPRABulletedList"/>
        <w:numPr>
          <w:ilvl w:val="0"/>
          <w:numId w:val="0"/>
        </w:numPr>
        <w:ind w:left="284"/>
      </w:pPr>
      <w:r w:rsidRPr="00B70B69">
        <w:t>Give details regarding blood usage annually beginning 1 January and ending 31 December. Please note the terms used in this section should be interpreted as follows:</w:t>
      </w:r>
    </w:p>
    <w:p w14:paraId="182C874B" w14:textId="77777777" w:rsidR="005E7F5F" w:rsidRPr="00B70B69" w:rsidRDefault="005E7F5F" w:rsidP="00B70B69">
      <w:pPr>
        <w:pStyle w:val="HPRABulletedList"/>
        <w:numPr>
          <w:ilvl w:val="0"/>
          <w:numId w:val="0"/>
        </w:numPr>
        <w:ind w:left="284"/>
      </w:pPr>
      <w:r w:rsidRPr="00B70B69">
        <w:rPr>
          <w:b/>
        </w:rPr>
        <w:t>Received</w:t>
      </w:r>
      <w:r w:rsidRPr="00B70B69">
        <w:t xml:space="preserve"> = Number of units received by facility from supplying blood establishment/</w:t>
      </w:r>
      <w:r w:rsidR="00116B51">
        <w:t xml:space="preserve"> </w:t>
      </w:r>
      <w:r w:rsidRPr="00B70B69">
        <w:t>hospital blood bank</w:t>
      </w:r>
    </w:p>
    <w:p w14:paraId="7F4F102C" w14:textId="77777777" w:rsidR="005E7F5F" w:rsidRPr="00B70B69" w:rsidRDefault="005E7F5F" w:rsidP="00B70B69">
      <w:pPr>
        <w:pStyle w:val="HPRABulletedList"/>
        <w:numPr>
          <w:ilvl w:val="0"/>
          <w:numId w:val="0"/>
        </w:numPr>
        <w:ind w:left="284"/>
      </w:pPr>
      <w:r w:rsidRPr="00B70B69">
        <w:rPr>
          <w:b/>
        </w:rPr>
        <w:t>Issued</w:t>
      </w:r>
      <w:r w:rsidRPr="00B70B69">
        <w:t xml:space="preserve"> = Number of units issued for transfusion</w:t>
      </w:r>
    </w:p>
    <w:p w14:paraId="172C7693" w14:textId="77777777" w:rsidR="005E7F5F" w:rsidRPr="00B70B69" w:rsidRDefault="005E7F5F" w:rsidP="00B70B69">
      <w:pPr>
        <w:pStyle w:val="HPRABulletedList"/>
        <w:numPr>
          <w:ilvl w:val="0"/>
          <w:numId w:val="0"/>
        </w:numPr>
        <w:ind w:left="284"/>
      </w:pPr>
      <w:r w:rsidRPr="00B70B69">
        <w:rPr>
          <w:b/>
        </w:rPr>
        <w:t>Transfused</w:t>
      </w:r>
      <w:r w:rsidRPr="00B70B69">
        <w:t xml:space="preserve"> = Number of units transfused and the number of recipients transfused </w:t>
      </w:r>
    </w:p>
    <w:p w14:paraId="1FCDB25B" w14:textId="77777777" w:rsidR="005E7F5F" w:rsidRPr="00B70B69" w:rsidRDefault="005E7F5F" w:rsidP="00B70B69">
      <w:pPr>
        <w:pStyle w:val="HPRABulletedList"/>
        <w:numPr>
          <w:ilvl w:val="0"/>
          <w:numId w:val="0"/>
        </w:numPr>
        <w:ind w:left="284"/>
      </w:pPr>
      <w:r w:rsidRPr="00B70B69">
        <w:rPr>
          <w:b/>
        </w:rPr>
        <w:lastRenderedPageBreak/>
        <w:t>Discarded</w:t>
      </w:r>
      <w:r w:rsidRPr="00B70B69">
        <w:t xml:space="preserve"> = Number of units to include both laboratory and clinical discards</w:t>
      </w:r>
    </w:p>
    <w:p w14:paraId="31401571" w14:textId="77777777" w:rsidR="005E7F5F" w:rsidRPr="00B70B69" w:rsidRDefault="005E7F5F" w:rsidP="00B70B69">
      <w:pPr>
        <w:pStyle w:val="HPRABulletedList"/>
        <w:numPr>
          <w:ilvl w:val="0"/>
          <w:numId w:val="0"/>
        </w:numPr>
        <w:ind w:left="284"/>
      </w:pPr>
      <w:r w:rsidRPr="00B70B69">
        <w:rPr>
          <w:b/>
        </w:rPr>
        <w:t>Expired</w:t>
      </w:r>
      <w:r w:rsidRPr="00B70B69">
        <w:t xml:space="preserve"> = Number of units which expired in the facility without being transfused</w:t>
      </w:r>
    </w:p>
    <w:p w14:paraId="0283555D" w14:textId="68DF8D5F" w:rsidR="005E7F5F" w:rsidRPr="00B70B69" w:rsidRDefault="005E7F5F" w:rsidP="00B70B69">
      <w:pPr>
        <w:pStyle w:val="HPRABulletedList"/>
        <w:numPr>
          <w:ilvl w:val="0"/>
          <w:numId w:val="0"/>
        </w:numPr>
        <w:ind w:left="284"/>
      </w:pPr>
      <w:r w:rsidRPr="00B70B69">
        <w:rPr>
          <w:b/>
        </w:rPr>
        <w:t>Returned</w:t>
      </w:r>
      <w:r w:rsidRPr="00B70B69">
        <w:t xml:space="preserve"> = Number of units returned to the supplying blood establishment (in date)/re-routed to the supplying hospital blood bank for subsequent use</w:t>
      </w:r>
    </w:p>
    <w:p w14:paraId="41EEAEDA" w14:textId="77777777" w:rsidR="005E7F5F" w:rsidRPr="00B70B69" w:rsidRDefault="005E7F5F" w:rsidP="00833EAF">
      <w:pPr>
        <w:pStyle w:val="HPRABulletedList"/>
        <w:numPr>
          <w:ilvl w:val="0"/>
          <w:numId w:val="0"/>
        </w:numPr>
        <w:ind w:left="284" w:hanging="284"/>
      </w:pPr>
    </w:p>
    <w:p w14:paraId="7CB6AC7C" w14:textId="77777777" w:rsidR="005E7F5F" w:rsidRPr="00B70B69" w:rsidRDefault="005E7F5F" w:rsidP="00B70B69">
      <w:pPr>
        <w:pStyle w:val="HPRAMainBodyText"/>
        <w:rPr>
          <w:b/>
          <w:color w:val="007041" w:themeColor="accent4"/>
        </w:rPr>
      </w:pPr>
      <w:r w:rsidRPr="00B70B69">
        <w:rPr>
          <w:b/>
          <w:color w:val="007041" w:themeColor="accent4"/>
        </w:rPr>
        <w:t xml:space="preserve">Section 4A – Changes since previous submission of hospital blood bank annual report </w:t>
      </w:r>
    </w:p>
    <w:p w14:paraId="07041706" w14:textId="77777777" w:rsidR="005E7F5F" w:rsidRPr="00B70B69" w:rsidRDefault="005E7F5F" w:rsidP="00B70B69">
      <w:pPr>
        <w:pStyle w:val="HPRAMainBodyText"/>
        <w:rPr>
          <w:szCs w:val="22"/>
        </w:rPr>
      </w:pPr>
    </w:p>
    <w:p w14:paraId="42F3EBF7" w14:textId="77777777" w:rsidR="005E7F5F" w:rsidRPr="00B70B69" w:rsidRDefault="005E7F5F" w:rsidP="00B70B69">
      <w:pPr>
        <w:pStyle w:val="HPRABulletedList"/>
      </w:pPr>
      <w:r w:rsidRPr="00B70B69">
        <w:t>Section 4.1</w:t>
      </w:r>
    </w:p>
    <w:p w14:paraId="22B031B5" w14:textId="77777777" w:rsidR="005E7F5F" w:rsidRPr="00B70B69" w:rsidRDefault="005E7F5F" w:rsidP="00B70B69">
      <w:pPr>
        <w:pStyle w:val="HPRABulletedList"/>
        <w:numPr>
          <w:ilvl w:val="0"/>
          <w:numId w:val="0"/>
        </w:numPr>
        <w:ind w:left="284"/>
      </w:pPr>
      <w:r w:rsidRPr="00B70B69">
        <w:t>Tick ‘yes’ or ‘no’.</w:t>
      </w:r>
    </w:p>
    <w:p w14:paraId="5C6FB176" w14:textId="77777777" w:rsidR="005E7F5F" w:rsidRPr="00B70B69" w:rsidRDefault="005E7F5F" w:rsidP="00833EAF">
      <w:pPr>
        <w:pStyle w:val="HPRABulletedList"/>
        <w:numPr>
          <w:ilvl w:val="0"/>
          <w:numId w:val="0"/>
        </w:numPr>
        <w:ind w:left="284" w:hanging="284"/>
      </w:pPr>
    </w:p>
    <w:p w14:paraId="43F7EB5C" w14:textId="77777777" w:rsidR="005E7F5F" w:rsidRPr="00B70B69" w:rsidRDefault="005E7F5F" w:rsidP="00B70B69">
      <w:pPr>
        <w:pStyle w:val="HPRABulletedList"/>
      </w:pPr>
      <w:r w:rsidRPr="00B70B69">
        <w:t>Section 4.2</w:t>
      </w:r>
    </w:p>
    <w:p w14:paraId="190D0D0E" w14:textId="3AB81F6A" w:rsidR="005E7F5F" w:rsidRPr="00B70B69" w:rsidRDefault="005E7F5F" w:rsidP="00B70B69">
      <w:pPr>
        <w:pStyle w:val="HPRABulletedList"/>
        <w:numPr>
          <w:ilvl w:val="0"/>
          <w:numId w:val="0"/>
        </w:numPr>
        <w:ind w:left="284"/>
      </w:pPr>
      <w:r w:rsidRPr="00B70B69">
        <w:t>If an annual report was submitted by the hospital blood bank for the previous year, provide details of any significant changes in personnel, processes, facilities, equipment or workload since the previous submission. This may include, for example, a move to a new facility, an upgrade of an existing laboratory, a move to automated grouping, implementation of electronic crossmatching, purchase of new fridges or freezers for the storage of blood and blood components</w:t>
      </w:r>
      <w:r w:rsidR="00F74A89">
        <w:t>,</w:t>
      </w:r>
      <w:r w:rsidRPr="00B70B69">
        <w:t xml:space="preserve"> etc.</w:t>
      </w:r>
    </w:p>
    <w:p w14:paraId="24BA8364" w14:textId="77777777" w:rsidR="005E7F5F" w:rsidRPr="00B70B69" w:rsidRDefault="005E7F5F" w:rsidP="00833EAF">
      <w:pPr>
        <w:pStyle w:val="HPRABulletedList"/>
        <w:numPr>
          <w:ilvl w:val="0"/>
          <w:numId w:val="0"/>
        </w:numPr>
        <w:ind w:left="284" w:hanging="284"/>
      </w:pPr>
    </w:p>
    <w:p w14:paraId="224F5ABD" w14:textId="77777777" w:rsidR="005E7F5F" w:rsidRPr="00B70B69" w:rsidRDefault="005E7F5F" w:rsidP="00B70B69">
      <w:pPr>
        <w:pStyle w:val="HPRABulletedList"/>
        <w:numPr>
          <w:ilvl w:val="0"/>
          <w:numId w:val="0"/>
        </w:numPr>
        <w:ind w:left="284" w:hanging="284"/>
        <w:rPr>
          <w:b/>
          <w:color w:val="007041" w:themeColor="accent4"/>
        </w:rPr>
      </w:pPr>
      <w:r w:rsidRPr="00B70B69">
        <w:rPr>
          <w:b/>
          <w:color w:val="007041" w:themeColor="accent4"/>
        </w:rPr>
        <w:t>Section 4B – Planned future changes</w:t>
      </w:r>
    </w:p>
    <w:p w14:paraId="5958BC1B" w14:textId="77777777" w:rsidR="005E7F5F" w:rsidRPr="00B70B69" w:rsidRDefault="005E7F5F" w:rsidP="00833EAF">
      <w:pPr>
        <w:pStyle w:val="HPRABulletedList"/>
        <w:numPr>
          <w:ilvl w:val="0"/>
          <w:numId w:val="0"/>
        </w:numPr>
        <w:ind w:left="284" w:hanging="284"/>
      </w:pPr>
    </w:p>
    <w:p w14:paraId="3C354188" w14:textId="77777777" w:rsidR="005E7F5F" w:rsidRPr="00B70B69" w:rsidRDefault="005E7F5F" w:rsidP="00B70B69">
      <w:pPr>
        <w:pStyle w:val="HPRABulletedList"/>
      </w:pPr>
      <w:r w:rsidRPr="00B70B69">
        <w:t>Section 4.3</w:t>
      </w:r>
    </w:p>
    <w:p w14:paraId="621FE38F" w14:textId="31741318" w:rsidR="005E7F5F" w:rsidRPr="00B70B69" w:rsidRDefault="005E7F5F" w:rsidP="00B70B69">
      <w:pPr>
        <w:pStyle w:val="HPRABulletedList"/>
        <w:numPr>
          <w:ilvl w:val="0"/>
          <w:numId w:val="0"/>
        </w:numPr>
        <w:ind w:left="284"/>
      </w:pPr>
      <w:r w:rsidRPr="00B70B69">
        <w:t>Provide details of any planned significant changes in personnel, processes, facilities, equipment or workload since the previous submission. This may include, for example, a move to a new facility, an upgrade of an existing laboratory, a move to automated grouping, implementation of electronic crossmatching, purchase of new fridges or freezers for the storage of blood and blood components</w:t>
      </w:r>
      <w:r w:rsidR="00F74A89">
        <w:t>,</w:t>
      </w:r>
      <w:r w:rsidRPr="00B70B69">
        <w:t xml:space="preserve"> etc.</w:t>
      </w:r>
    </w:p>
    <w:p w14:paraId="7C69C707" w14:textId="77777777" w:rsidR="005E7F5F" w:rsidRPr="00B70B69" w:rsidRDefault="005E7F5F" w:rsidP="00B70B69">
      <w:pPr>
        <w:pStyle w:val="HPRAMainBodyText"/>
        <w:rPr>
          <w:szCs w:val="22"/>
        </w:rPr>
      </w:pPr>
    </w:p>
    <w:p w14:paraId="01054ED5" w14:textId="77777777" w:rsidR="005E7F5F" w:rsidRPr="00B70B69" w:rsidRDefault="005E7F5F" w:rsidP="00B70B69">
      <w:pPr>
        <w:pStyle w:val="HPRAMainBodyText"/>
        <w:rPr>
          <w:b/>
          <w:color w:val="007041" w:themeColor="accent4"/>
        </w:rPr>
      </w:pPr>
      <w:r w:rsidRPr="00B70B69">
        <w:rPr>
          <w:b/>
          <w:color w:val="007041" w:themeColor="accent4"/>
        </w:rPr>
        <w:t>Section 5 – Status of ISO 15189 accreditation</w:t>
      </w:r>
    </w:p>
    <w:p w14:paraId="43ADFB73" w14:textId="77777777" w:rsidR="005E7F5F" w:rsidRPr="00B70B69" w:rsidRDefault="005E7F5F" w:rsidP="00B70B69">
      <w:pPr>
        <w:pStyle w:val="HPRAMainBodyText"/>
        <w:rPr>
          <w:szCs w:val="22"/>
        </w:rPr>
      </w:pPr>
    </w:p>
    <w:p w14:paraId="04943BDB" w14:textId="77777777" w:rsidR="005E7F5F" w:rsidRPr="00B70B69" w:rsidRDefault="005E7F5F" w:rsidP="00B70B69">
      <w:pPr>
        <w:pStyle w:val="HPRABulletedList"/>
      </w:pPr>
      <w:r w:rsidRPr="00B70B69">
        <w:t>Section 5.1–5.3</w:t>
      </w:r>
    </w:p>
    <w:p w14:paraId="45C8EDAA" w14:textId="608457D7" w:rsidR="005E7F5F" w:rsidRPr="00B70B69" w:rsidRDefault="005E7F5F" w:rsidP="00B70B69">
      <w:pPr>
        <w:pStyle w:val="HPRABulletedList"/>
        <w:numPr>
          <w:ilvl w:val="0"/>
          <w:numId w:val="0"/>
        </w:numPr>
        <w:ind w:left="284"/>
      </w:pPr>
      <w:r w:rsidRPr="00B70B69">
        <w:t xml:space="preserve">Provide details regarding the status of ISO 15189 accreditation at the hospital blood bank. Note that these details will be cross checked with the Irish National Accreditation Board. Please follow the relevant instructions in this section for the completion of </w:t>
      </w:r>
      <w:r w:rsidR="004A47D3" w:rsidRPr="00B70B69">
        <w:t>A</w:t>
      </w:r>
      <w:r w:rsidR="004A47D3">
        <w:t>ppendix</w:t>
      </w:r>
      <w:r w:rsidR="004A47D3" w:rsidRPr="00B70B69">
        <w:t xml:space="preserve"> </w:t>
      </w:r>
      <w:r w:rsidRPr="00B70B69">
        <w:t>1.</w:t>
      </w:r>
    </w:p>
    <w:p w14:paraId="485279EF" w14:textId="77777777" w:rsidR="005E7F5F" w:rsidRPr="00B70B69" w:rsidRDefault="005E7F5F" w:rsidP="00B70B69">
      <w:pPr>
        <w:pStyle w:val="HPRAMainBodyText"/>
        <w:rPr>
          <w:szCs w:val="22"/>
        </w:rPr>
      </w:pPr>
    </w:p>
    <w:p w14:paraId="1F1CA43C" w14:textId="77777777" w:rsidR="005E7F5F" w:rsidRPr="00B70B69" w:rsidRDefault="005E7F5F" w:rsidP="00B70B69">
      <w:pPr>
        <w:pStyle w:val="HPRAMainBodyText"/>
        <w:rPr>
          <w:b/>
          <w:color w:val="007041" w:themeColor="accent4"/>
        </w:rPr>
      </w:pPr>
      <w:r w:rsidRPr="00B70B69">
        <w:rPr>
          <w:b/>
          <w:color w:val="007041" w:themeColor="accent4"/>
        </w:rPr>
        <w:t>Section 6 – Additional information</w:t>
      </w:r>
    </w:p>
    <w:p w14:paraId="28D5668B" w14:textId="77777777" w:rsidR="005E7F5F" w:rsidRPr="00B70B69" w:rsidRDefault="005E7F5F" w:rsidP="00B70B69">
      <w:pPr>
        <w:pStyle w:val="HPRAMainBodyText"/>
        <w:rPr>
          <w:szCs w:val="22"/>
        </w:rPr>
      </w:pPr>
    </w:p>
    <w:p w14:paraId="1DCBA6AF" w14:textId="77777777" w:rsidR="005E7F5F" w:rsidRPr="00B70B69" w:rsidRDefault="00833EAF" w:rsidP="00B70B69">
      <w:pPr>
        <w:pStyle w:val="HPRABulletedList"/>
      </w:pPr>
      <w:r>
        <w:t>Section 6.1</w:t>
      </w:r>
    </w:p>
    <w:p w14:paraId="28C6464A" w14:textId="77777777" w:rsidR="00B70B69" w:rsidRDefault="005E7F5F" w:rsidP="00B70B69">
      <w:pPr>
        <w:pStyle w:val="HPRABulletedList"/>
        <w:numPr>
          <w:ilvl w:val="0"/>
          <w:numId w:val="0"/>
        </w:numPr>
        <w:ind w:left="284"/>
      </w:pPr>
      <w:r w:rsidRPr="00B70B69">
        <w:t>This section requests specific information relating to the traceability success rates for the hospital blood bank and each facility supplied.</w:t>
      </w:r>
    </w:p>
    <w:p w14:paraId="59835FFF" w14:textId="77777777" w:rsidR="00B70B69" w:rsidRDefault="00B70B69" w:rsidP="002559C4">
      <w:pPr>
        <w:pStyle w:val="HPRABulletedList"/>
        <w:numPr>
          <w:ilvl w:val="0"/>
          <w:numId w:val="0"/>
        </w:numPr>
        <w:ind w:left="284"/>
      </w:pPr>
    </w:p>
    <w:p w14:paraId="20068EAF" w14:textId="77777777" w:rsidR="005E7F5F" w:rsidRPr="00B70B69" w:rsidRDefault="005E7F5F" w:rsidP="00B70B69">
      <w:pPr>
        <w:pStyle w:val="HPRABulletedList"/>
      </w:pPr>
      <w:r w:rsidRPr="00B70B69">
        <w:t>Section 6.2</w:t>
      </w:r>
    </w:p>
    <w:p w14:paraId="369C8945" w14:textId="1A9381D3" w:rsidR="005E7F5F" w:rsidRPr="00010A49" w:rsidRDefault="005E7F5F" w:rsidP="00B70B69">
      <w:pPr>
        <w:pStyle w:val="HPRABulletedList"/>
        <w:numPr>
          <w:ilvl w:val="0"/>
          <w:numId w:val="0"/>
        </w:numPr>
        <w:ind w:left="284"/>
      </w:pPr>
      <w:r w:rsidRPr="00B70B69">
        <w:t>This section requests specific information relating to the numbers of serious adverse reactions (SARs) and serious adverse events (SAEs) investigated within the hospital and reported to the</w:t>
      </w:r>
      <w:r w:rsidRPr="00010A49">
        <w:t xml:space="preserve"> National Haemovigilance Office (NHO).</w:t>
      </w:r>
      <w:r>
        <w:t xml:space="preserve"> </w:t>
      </w:r>
      <w:r w:rsidR="00116B51">
        <w:t>T</w:t>
      </w:r>
      <w:r>
        <w:t xml:space="preserve">he number of SARs and SAEs </w:t>
      </w:r>
      <w:r>
        <w:lastRenderedPageBreak/>
        <w:t>reported to the NHO which were reported to the hospital blood bank from each facility supplied</w:t>
      </w:r>
      <w:r w:rsidR="00116B51">
        <w:t xml:space="preserve"> must also be included</w:t>
      </w:r>
      <w:r>
        <w:t>.</w:t>
      </w:r>
    </w:p>
    <w:p w14:paraId="2E4AF0A9" w14:textId="77777777" w:rsidR="005E7F5F" w:rsidRPr="00833EAF" w:rsidRDefault="005E7F5F" w:rsidP="00833EAF">
      <w:pPr>
        <w:pStyle w:val="HPRAMainBodyText"/>
      </w:pPr>
    </w:p>
    <w:p w14:paraId="5F12F3AF" w14:textId="77777777" w:rsidR="005E7F5F" w:rsidRPr="00C17C00" w:rsidRDefault="005E7F5F" w:rsidP="00C17C00">
      <w:pPr>
        <w:pStyle w:val="HPRAMainBodyText"/>
        <w:rPr>
          <w:b/>
          <w:color w:val="007041" w:themeColor="accent4"/>
          <w:szCs w:val="22"/>
        </w:rPr>
      </w:pPr>
      <w:r w:rsidRPr="00C17C00">
        <w:rPr>
          <w:b/>
          <w:color w:val="007041" w:themeColor="accent4"/>
        </w:rPr>
        <w:t>Section 7 – Completion of annual</w:t>
      </w:r>
      <w:r w:rsidRPr="00C17C00">
        <w:rPr>
          <w:b/>
          <w:color w:val="007041" w:themeColor="accent4"/>
          <w:szCs w:val="22"/>
        </w:rPr>
        <w:t xml:space="preserve"> </w:t>
      </w:r>
      <w:r w:rsidRPr="00C17C00">
        <w:rPr>
          <w:b/>
          <w:color w:val="007041" w:themeColor="accent4"/>
        </w:rPr>
        <w:t>report</w:t>
      </w:r>
    </w:p>
    <w:p w14:paraId="751B5AEF" w14:textId="77777777" w:rsidR="005E7F5F" w:rsidRPr="00C17C00" w:rsidRDefault="005E7F5F" w:rsidP="00C17C00">
      <w:pPr>
        <w:pStyle w:val="HPRAMainBodyText"/>
        <w:rPr>
          <w:szCs w:val="22"/>
        </w:rPr>
      </w:pPr>
    </w:p>
    <w:p w14:paraId="357C8546" w14:textId="77777777" w:rsidR="005E7F5F" w:rsidRPr="00C17C00" w:rsidRDefault="005E7F5F" w:rsidP="00C17C00">
      <w:pPr>
        <w:pStyle w:val="HPRAMainBodyText"/>
        <w:rPr>
          <w:szCs w:val="22"/>
        </w:rPr>
      </w:pPr>
      <w:r w:rsidRPr="00C17C00">
        <w:rPr>
          <w:szCs w:val="22"/>
        </w:rPr>
        <w:t>This section should be signed by the person who has completed the annual report.</w:t>
      </w:r>
    </w:p>
    <w:p w14:paraId="0511B16A" w14:textId="77777777" w:rsidR="005E7F5F" w:rsidRPr="00C17C00" w:rsidRDefault="005E7F5F" w:rsidP="00C17C00">
      <w:pPr>
        <w:pStyle w:val="HPRAMainBodyText"/>
      </w:pPr>
    </w:p>
    <w:p w14:paraId="12CFE0F7" w14:textId="77777777" w:rsidR="005E7F5F" w:rsidRPr="00C17C00" w:rsidRDefault="005E7F5F" w:rsidP="00C17C00">
      <w:pPr>
        <w:pStyle w:val="HPRAMainBodyText"/>
        <w:rPr>
          <w:b/>
          <w:color w:val="007041" w:themeColor="accent4"/>
        </w:rPr>
      </w:pPr>
      <w:r w:rsidRPr="00C17C00">
        <w:rPr>
          <w:b/>
          <w:color w:val="007041" w:themeColor="accent4"/>
        </w:rPr>
        <w:t>Section 8 – Declaration</w:t>
      </w:r>
    </w:p>
    <w:p w14:paraId="4BF612B6" w14:textId="77777777" w:rsidR="005E7F5F" w:rsidRPr="00C17C00" w:rsidRDefault="005E7F5F" w:rsidP="00C17C00">
      <w:pPr>
        <w:pStyle w:val="HPRAMainBodyText"/>
        <w:rPr>
          <w:szCs w:val="22"/>
        </w:rPr>
      </w:pPr>
    </w:p>
    <w:p w14:paraId="3A38A5B0" w14:textId="77777777" w:rsidR="005E7F5F" w:rsidRPr="00C17C00" w:rsidRDefault="005E7F5F" w:rsidP="00C17C00">
      <w:pPr>
        <w:pStyle w:val="HPRAMainBodyText"/>
        <w:rPr>
          <w:szCs w:val="22"/>
        </w:rPr>
      </w:pPr>
      <w:r w:rsidRPr="00C17C00">
        <w:rPr>
          <w:szCs w:val="22"/>
        </w:rPr>
        <w:t>The declaration should be signed by the person responsible for the management of the hospital blood bank (Chief Executive Officer or General Manager of the hospital). If the person responsible for the management of the hospital blood bank declares that all appropriate systems are not in place, a proposed timetable for implementation of outstand</w:t>
      </w:r>
      <w:r w:rsidR="00833EAF">
        <w:rPr>
          <w:szCs w:val="22"/>
        </w:rPr>
        <w:t>ing systems should be provided.</w:t>
      </w:r>
    </w:p>
    <w:p w14:paraId="2A39150D" w14:textId="77777777" w:rsidR="005E7F5F" w:rsidRPr="00C17C00" w:rsidRDefault="005E7F5F" w:rsidP="00C17C00">
      <w:pPr>
        <w:pStyle w:val="HPRAMainBodyText"/>
        <w:rPr>
          <w:szCs w:val="22"/>
        </w:rPr>
      </w:pPr>
    </w:p>
    <w:p w14:paraId="6AE94B78" w14:textId="77777777" w:rsidR="005E7F5F" w:rsidRPr="00C17C00" w:rsidRDefault="005E7F5F" w:rsidP="00C17C00">
      <w:pPr>
        <w:pStyle w:val="HPRAMainBodyText"/>
        <w:rPr>
          <w:i/>
          <w:szCs w:val="22"/>
        </w:rPr>
      </w:pPr>
      <w:r w:rsidRPr="00C17C00">
        <w:rPr>
          <w:i/>
          <w:szCs w:val="22"/>
        </w:rPr>
        <w:t>Note: annual reports cannot be accepted if they are not signed by the appropriate personnel.</w:t>
      </w:r>
    </w:p>
    <w:p w14:paraId="130119D5" w14:textId="77777777" w:rsidR="005E7F5F" w:rsidRPr="00C17C00" w:rsidRDefault="005E7F5F" w:rsidP="00C17C00">
      <w:pPr>
        <w:pStyle w:val="HPRAMainBodyText"/>
        <w:rPr>
          <w:szCs w:val="22"/>
        </w:rPr>
      </w:pPr>
    </w:p>
    <w:p w14:paraId="2C48AEC3" w14:textId="11E29F69" w:rsidR="00C17C00" w:rsidRDefault="00C17C00">
      <w:pPr>
        <w:rPr>
          <w:rFonts w:ascii="Segoe UI" w:hAnsi="Segoe UI" w:cs="Segoe UI"/>
          <w:sz w:val="20"/>
          <w:szCs w:val="20"/>
        </w:rPr>
      </w:pPr>
    </w:p>
    <w:p w14:paraId="7B653305" w14:textId="77777777" w:rsidR="005E7F5F" w:rsidRPr="00C17C00" w:rsidRDefault="005E7F5F" w:rsidP="00C17C00">
      <w:pPr>
        <w:pStyle w:val="HPRAHeadingL1"/>
        <w:numPr>
          <w:ilvl w:val="0"/>
          <w:numId w:val="0"/>
        </w:numPr>
        <w:ind w:left="709" w:hanging="709"/>
      </w:pPr>
      <w:r w:rsidRPr="00C17C00">
        <w:t>Appendix 1</w:t>
      </w:r>
    </w:p>
    <w:p w14:paraId="74635241" w14:textId="77777777" w:rsidR="005E7F5F" w:rsidRPr="00C17C00" w:rsidRDefault="005E7F5F" w:rsidP="00C17C00">
      <w:pPr>
        <w:pStyle w:val="HPRAMainBodyText"/>
      </w:pPr>
    </w:p>
    <w:p w14:paraId="2157892B" w14:textId="77777777" w:rsidR="005E7F5F" w:rsidRPr="00C17C00" w:rsidRDefault="005E7F5F" w:rsidP="00C17C00">
      <w:pPr>
        <w:pStyle w:val="HPRAMainBodyText"/>
        <w:rPr>
          <w:b/>
          <w:color w:val="007041" w:themeColor="accent4"/>
        </w:rPr>
      </w:pPr>
      <w:r w:rsidRPr="00C17C00">
        <w:rPr>
          <w:b/>
          <w:color w:val="007041" w:themeColor="accent4"/>
        </w:rPr>
        <w:t>Section 1 – Personnel</w:t>
      </w:r>
    </w:p>
    <w:p w14:paraId="3635EC58" w14:textId="77777777" w:rsidR="005E7F5F" w:rsidRPr="00C17C00" w:rsidRDefault="005E7F5F" w:rsidP="00C17C00">
      <w:pPr>
        <w:pStyle w:val="HPRAMainBodyText"/>
        <w:rPr>
          <w:szCs w:val="22"/>
        </w:rPr>
      </w:pPr>
    </w:p>
    <w:p w14:paraId="4DB8CEE0" w14:textId="77777777" w:rsidR="005E7F5F" w:rsidRPr="00C17C00" w:rsidRDefault="005E7F5F" w:rsidP="00C17C00">
      <w:pPr>
        <w:pStyle w:val="HPRABulletedList"/>
      </w:pPr>
      <w:r w:rsidRPr="00C17C00">
        <w:t>Section 1.1</w:t>
      </w:r>
    </w:p>
    <w:p w14:paraId="45E53839" w14:textId="77777777" w:rsidR="005E7F5F" w:rsidRPr="00C17C00" w:rsidRDefault="005E7F5F" w:rsidP="00C17C00">
      <w:pPr>
        <w:pStyle w:val="HPRABulletedList"/>
        <w:numPr>
          <w:ilvl w:val="0"/>
          <w:numId w:val="0"/>
        </w:numPr>
        <w:ind w:left="284"/>
      </w:pPr>
      <w:r w:rsidRPr="00C17C00">
        <w:t>Provide the number of medical laboratory scientists, laboratory aides, haemovigilance officers or equivalent and other relevant personnel involved in providing the blood transfusion service in the hospital blood bank.</w:t>
      </w:r>
    </w:p>
    <w:p w14:paraId="05AABC2D" w14:textId="77777777" w:rsidR="005E7F5F" w:rsidRPr="00C17C00" w:rsidRDefault="005E7F5F" w:rsidP="00833EAF">
      <w:pPr>
        <w:pStyle w:val="HPRABulletedList"/>
        <w:numPr>
          <w:ilvl w:val="0"/>
          <w:numId w:val="0"/>
        </w:numPr>
        <w:ind w:left="284" w:hanging="284"/>
      </w:pPr>
    </w:p>
    <w:p w14:paraId="0201B92F" w14:textId="77777777" w:rsidR="005E7F5F" w:rsidRPr="00C17C00" w:rsidRDefault="005E7F5F" w:rsidP="00C17C00">
      <w:pPr>
        <w:pStyle w:val="HPRABulletedList"/>
      </w:pPr>
      <w:r w:rsidRPr="00C17C00">
        <w:t>Section 1.2</w:t>
      </w:r>
    </w:p>
    <w:p w14:paraId="1729E158" w14:textId="77777777" w:rsidR="005E7F5F" w:rsidRPr="00C17C00" w:rsidRDefault="005E7F5F" w:rsidP="00C17C00">
      <w:pPr>
        <w:pStyle w:val="HPRABulletedList"/>
        <w:numPr>
          <w:ilvl w:val="0"/>
          <w:numId w:val="0"/>
        </w:numPr>
        <w:ind w:left="284"/>
      </w:pPr>
      <w:r w:rsidRPr="00C17C00">
        <w:t>Provide a brief overview of the training that personnel involved in providing the transfusion service undergo in all pertinent procedures prior to being allowed to carry out these procedures unsupervised.</w:t>
      </w:r>
    </w:p>
    <w:p w14:paraId="3CB6B953" w14:textId="77777777" w:rsidR="005E7F5F" w:rsidRPr="00C17C00" w:rsidRDefault="005E7F5F" w:rsidP="00833EAF">
      <w:pPr>
        <w:pStyle w:val="HPRABulletedList"/>
        <w:numPr>
          <w:ilvl w:val="0"/>
          <w:numId w:val="0"/>
        </w:numPr>
        <w:ind w:left="284" w:hanging="284"/>
      </w:pPr>
    </w:p>
    <w:p w14:paraId="48F07327" w14:textId="77777777" w:rsidR="005E7F5F" w:rsidRPr="00C17C00" w:rsidRDefault="005E7F5F" w:rsidP="00C17C00">
      <w:pPr>
        <w:pStyle w:val="HPRABulletedList"/>
      </w:pPr>
      <w:r w:rsidRPr="00C17C00">
        <w:t>Section 1.3</w:t>
      </w:r>
    </w:p>
    <w:p w14:paraId="4B7E7C61" w14:textId="77777777" w:rsidR="005E7F5F" w:rsidRPr="00C17C00" w:rsidRDefault="005E7F5F" w:rsidP="00C17C00">
      <w:pPr>
        <w:pStyle w:val="HPRABulletedList"/>
        <w:numPr>
          <w:ilvl w:val="0"/>
          <w:numId w:val="0"/>
        </w:numPr>
        <w:ind w:left="284"/>
      </w:pPr>
      <w:r w:rsidRPr="00C17C00">
        <w:t>Give brief details of the competency assessment procedures in place. Please note that competency assessment should not be limited to testing procedures and should incorporate all critical procedures in the hospital blood bank.</w:t>
      </w:r>
    </w:p>
    <w:p w14:paraId="4E766D94" w14:textId="77777777" w:rsidR="005E7F5F" w:rsidRPr="00C17C00" w:rsidRDefault="005E7F5F" w:rsidP="00833EAF">
      <w:pPr>
        <w:pStyle w:val="HPRABulletedList"/>
        <w:numPr>
          <w:ilvl w:val="0"/>
          <w:numId w:val="0"/>
        </w:numPr>
        <w:ind w:left="284" w:hanging="284"/>
      </w:pPr>
    </w:p>
    <w:p w14:paraId="3056A686" w14:textId="77777777" w:rsidR="005E7F5F" w:rsidRPr="00C17C00" w:rsidRDefault="005E7F5F" w:rsidP="00C17C00">
      <w:pPr>
        <w:pStyle w:val="HPRABulletedList"/>
      </w:pPr>
      <w:r w:rsidRPr="00C17C00">
        <w:t>Section 1.4</w:t>
      </w:r>
    </w:p>
    <w:p w14:paraId="073F41C4" w14:textId="6148C4F3" w:rsidR="005E7F5F" w:rsidRPr="00C17C00" w:rsidRDefault="005E7F5F" w:rsidP="00C17C00">
      <w:pPr>
        <w:pStyle w:val="HPRABulletedList"/>
        <w:numPr>
          <w:ilvl w:val="0"/>
          <w:numId w:val="0"/>
        </w:numPr>
        <w:ind w:left="284"/>
      </w:pPr>
      <w:r w:rsidRPr="00C17C00">
        <w:t>Provide a brief overview of the training in relation to best practice and the requirements of the Directives provided to relevant staff within the hospital blood bank according to job function</w:t>
      </w:r>
      <w:r w:rsidR="00116B51">
        <w:t xml:space="preserve">, </w:t>
      </w:r>
      <w:r w:rsidRPr="00C17C00">
        <w:t>e.g. what type of training has been provided to a porter involved in the distribution or delivery of blood or blood components within the hospital.</w:t>
      </w:r>
    </w:p>
    <w:p w14:paraId="20CAC2F0" w14:textId="77777777" w:rsidR="005E7F5F" w:rsidRDefault="005E7F5F" w:rsidP="00C17C00">
      <w:pPr>
        <w:pStyle w:val="HPRAMainBodyText"/>
        <w:rPr>
          <w:szCs w:val="22"/>
        </w:rPr>
      </w:pPr>
    </w:p>
    <w:p w14:paraId="310C9CC0" w14:textId="77777777" w:rsidR="003327EB" w:rsidRPr="00C17C00" w:rsidRDefault="003327EB" w:rsidP="00C17C00">
      <w:pPr>
        <w:pStyle w:val="HPRAMainBodyText"/>
        <w:rPr>
          <w:szCs w:val="22"/>
        </w:rPr>
      </w:pPr>
    </w:p>
    <w:p w14:paraId="1DA536A6" w14:textId="77777777" w:rsidR="005E7F5F" w:rsidRPr="00C17C00" w:rsidRDefault="005E7F5F" w:rsidP="00C17C00">
      <w:pPr>
        <w:pStyle w:val="HPRABulletedList"/>
      </w:pPr>
      <w:r w:rsidRPr="00C17C00">
        <w:lastRenderedPageBreak/>
        <w:t>Section 1.5–1.8</w:t>
      </w:r>
    </w:p>
    <w:p w14:paraId="662E4064" w14:textId="77777777" w:rsidR="005E7F5F" w:rsidRPr="00C17C00" w:rsidRDefault="005E7F5F" w:rsidP="00C17C00">
      <w:pPr>
        <w:pStyle w:val="HPRABulletedList"/>
        <w:numPr>
          <w:ilvl w:val="0"/>
          <w:numId w:val="0"/>
        </w:numPr>
        <w:ind w:left="284"/>
      </w:pPr>
      <w:r w:rsidRPr="00C17C00">
        <w:t>Provide details in relation to the personnel that are responsible for distributing blood and blood components from the blood transfusion service to the clinical areas.</w:t>
      </w:r>
    </w:p>
    <w:p w14:paraId="17691E1D" w14:textId="77777777" w:rsidR="005E7F5F" w:rsidRPr="00C17C00" w:rsidRDefault="005E7F5F" w:rsidP="00C17C00">
      <w:pPr>
        <w:pStyle w:val="HPRAMainBodyText"/>
      </w:pPr>
    </w:p>
    <w:p w14:paraId="36B4F396" w14:textId="77777777" w:rsidR="005E7F5F" w:rsidRPr="00C17C00" w:rsidRDefault="005E7F5F" w:rsidP="00C17C00">
      <w:pPr>
        <w:pStyle w:val="HPRAMainBodyText"/>
        <w:rPr>
          <w:b/>
          <w:color w:val="007041" w:themeColor="accent4"/>
        </w:rPr>
      </w:pPr>
      <w:r w:rsidRPr="00C17C00">
        <w:rPr>
          <w:b/>
          <w:color w:val="007041" w:themeColor="accent4"/>
        </w:rPr>
        <w:t>Section 2 – Work contracted to third parties</w:t>
      </w:r>
    </w:p>
    <w:p w14:paraId="56F18C0B" w14:textId="77777777" w:rsidR="005E7F5F" w:rsidRPr="00C17C00" w:rsidRDefault="005E7F5F" w:rsidP="00C17C00">
      <w:pPr>
        <w:pStyle w:val="HPRAMainBodyText"/>
      </w:pPr>
    </w:p>
    <w:p w14:paraId="0B9677F0" w14:textId="77777777" w:rsidR="005E7F5F" w:rsidRPr="00C17C00" w:rsidRDefault="005E7F5F" w:rsidP="00C17C00">
      <w:pPr>
        <w:pStyle w:val="HPRABulletedList"/>
      </w:pPr>
      <w:r w:rsidRPr="00C17C00">
        <w:t>Provide the name and address of any outside testing laboratories used. Provide details regarding the type of testing performed and indicate if technical agreements or relevant policies or procedures are in place.</w:t>
      </w:r>
    </w:p>
    <w:p w14:paraId="2683E1EB" w14:textId="77777777" w:rsidR="005E7F5F" w:rsidRPr="00C17C00" w:rsidRDefault="005E7F5F" w:rsidP="00833EAF">
      <w:pPr>
        <w:pStyle w:val="HPRABulletedList"/>
        <w:numPr>
          <w:ilvl w:val="0"/>
          <w:numId w:val="0"/>
        </w:numPr>
      </w:pPr>
    </w:p>
    <w:p w14:paraId="2C7EC2E6" w14:textId="77777777" w:rsidR="00034EBD" w:rsidRDefault="005E7F5F" w:rsidP="00C17C00">
      <w:pPr>
        <w:pStyle w:val="HPRABulletedList"/>
      </w:pPr>
      <w:r w:rsidRPr="00C17C00">
        <w:t>A service level agreement is required if the outside laboratory is a separate legal entity</w:t>
      </w:r>
      <w:r w:rsidR="00116B51">
        <w:t>,</w:t>
      </w:r>
      <w:r w:rsidRPr="00C17C00">
        <w:t xml:space="preserve"> i.e. a private sector laboratory or a laboratory that is not within the same HSE network as the hospital blood bank to which it provides a service.</w:t>
      </w:r>
    </w:p>
    <w:p w14:paraId="1607B2D2" w14:textId="77777777" w:rsidR="00034EBD" w:rsidRDefault="00034EBD">
      <w:pPr>
        <w:rPr>
          <w:rFonts w:ascii="Segoe UI" w:hAnsi="Segoe UI" w:cs="Segoe UI"/>
          <w:sz w:val="20"/>
          <w:szCs w:val="20"/>
        </w:rPr>
      </w:pPr>
    </w:p>
    <w:p w14:paraId="4063DDC8" w14:textId="77777777" w:rsidR="005E7F5F" w:rsidRPr="00C17C00" w:rsidRDefault="005E7F5F" w:rsidP="00C17C00">
      <w:pPr>
        <w:pStyle w:val="HPRAMainBodyText"/>
        <w:rPr>
          <w:b/>
          <w:color w:val="007041" w:themeColor="accent4"/>
        </w:rPr>
      </w:pPr>
      <w:r w:rsidRPr="00C17C00">
        <w:rPr>
          <w:b/>
          <w:color w:val="007041" w:themeColor="accent4"/>
        </w:rPr>
        <w:t>Section 3 – Quality system</w:t>
      </w:r>
    </w:p>
    <w:p w14:paraId="52402409" w14:textId="77777777" w:rsidR="005E7F5F" w:rsidRPr="00C17C00" w:rsidRDefault="005E7F5F" w:rsidP="00C17C00">
      <w:pPr>
        <w:pStyle w:val="HPRAMainBodyText"/>
      </w:pPr>
    </w:p>
    <w:p w14:paraId="01B35A12" w14:textId="77777777" w:rsidR="005E7F5F" w:rsidRDefault="005E7F5F" w:rsidP="00C17C00">
      <w:pPr>
        <w:pStyle w:val="HPRABulletedList"/>
      </w:pPr>
      <w:r w:rsidRPr="00C17C00">
        <w:t>Sections 3.1–3.6 require information on the major aspects of a quality system that should be in place in a hospital blood bank. Where it is required, provide a brief overview of these aspects and provide a reference to the procedure in place for each aspect. Please note that it is</w:t>
      </w:r>
      <w:r w:rsidRPr="00010A49">
        <w:t xml:space="preserve"> not required to submit actual procedures with this report. Unless specifically requested, submitted procedures will not be reviewed.</w:t>
      </w:r>
    </w:p>
    <w:p w14:paraId="58930E20" w14:textId="77777777" w:rsidR="005E7F5F" w:rsidRPr="00833EAF" w:rsidRDefault="005E7F5F" w:rsidP="00833EAF">
      <w:pPr>
        <w:pStyle w:val="HPRAMainBodyText"/>
      </w:pPr>
    </w:p>
    <w:p w14:paraId="1C91B433" w14:textId="77777777" w:rsidR="005E7F5F" w:rsidRPr="00C17C00" w:rsidRDefault="005E7F5F" w:rsidP="00C17C00">
      <w:pPr>
        <w:pStyle w:val="HPRAMainBodyText"/>
        <w:rPr>
          <w:b/>
          <w:color w:val="007041" w:themeColor="accent4"/>
        </w:rPr>
      </w:pPr>
      <w:r w:rsidRPr="00C17C00">
        <w:rPr>
          <w:b/>
          <w:color w:val="007041" w:themeColor="accent4"/>
        </w:rPr>
        <w:t>Section 4 – Equipment</w:t>
      </w:r>
    </w:p>
    <w:p w14:paraId="1CBAD974" w14:textId="77777777" w:rsidR="005E7F5F" w:rsidRPr="00C17C00" w:rsidRDefault="005E7F5F" w:rsidP="00C17C00">
      <w:pPr>
        <w:pStyle w:val="HPRAMainBodyText"/>
        <w:rPr>
          <w:szCs w:val="22"/>
        </w:rPr>
      </w:pPr>
    </w:p>
    <w:p w14:paraId="4734F136" w14:textId="77777777" w:rsidR="005E7F5F" w:rsidRPr="00C17C00" w:rsidRDefault="005E7F5F" w:rsidP="00FE7DB8">
      <w:pPr>
        <w:pStyle w:val="HPRABulletedList"/>
      </w:pPr>
      <w:r w:rsidRPr="00C17C00">
        <w:t>Sections 4.1–4.6 require information on the control and management of equipment in place in a hospital blood bank. It is required to provide a brief overview of the aspects covered in these sections and to provide a reference to the procedure in place for each aspect if relevant. Please note that it is not required to submit actual procedures with this report. Unless specifically requested, submitted procedures will not be reviewed.</w:t>
      </w:r>
    </w:p>
    <w:p w14:paraId="551675B0" w14:textId="77777777" w:rsidR="005E7F5F" w:rsidRPr="00C17C00" w:rsidRDefault="005E7F5F" w:rsidP="00C17C00">
      <w:pPr>
        <w:pStyle w:val="HPRAMainBodyText"/>
        <w:rPr>
          <w:szCs w:val="22"/>
        </w:rPr>
      </w:pPr>
    </w:p>
    <w:p w14:paraId="59ADCF4E" w14:textId="77777777" w:rsidR="005E7F5F" w:rsidRPr="00C17C00" w:rsidRDefault="005E7F5F" w:rsidP="00C17C00">
      <w:pPr>
        <w:pStyle w:val="HPRAMainBodyText"/>
        <w:rPr>
          <w:b/>
          <w:color w:val="007041" w:themeColor="accent4"/>
        </w:rPr>
      </w:pPr>
      <w:r w:rsidRPr="00C17C00">
        <w:rPr>
          <w:b/>
          <w:color w:val="007041" w:themeColor="accent4"/>
        </w:rPr>
        <w:t>Section 5 – Traceability</w:t>
      </w:r>
    </w:p>
    <w:p w14:paraId="7BF6D287" w14:textId="77777777" w:rsidR="005E7F5F" w:rsidRPr="00C17C00" w:rsidRDefault="005E7F5F" w:rsidP="00C17C00">
      <w:pPr>
        <w:pStyle w:val="HPRAMainBodyText"/>
        <w:rPr>
          <w:szCs w:val="22"/>
        </w:rPr>
      </w:pPr>
    </w:p>
    <w:p w14:paraId="46F77429" w14:textId="77777777" w:rsidR="005E7F5F" w:rsidRPr="00C17C00" w:rsidRDefault="005E7F5F" w:rsidP="00C17C00">
      <w:pPr>
        <w:pStyle w:val="HPRAMainBodyText"/>
        <w:rPr>
          <w:szCs w:val="22"/>
        </w:rPr>
      </w:pPr>
      <w:r w:rsidRPr="00C17C00">
        <w:rPr>
          <w:szCs w:val="22"/>
        </w:rPr>
        <w:t>The aim of this section is to provide an overview of the traceability and verification system within the hospital blood bank. Specific details have been requested in relation to the positive verification of final disposition of all blood and blood components, autofating, the actions taken where positive verification of final fate cannot be determined,</w:t>
      </w:r>
      <w:r w:rsidR="00116B51">
        <w:rPr>
          <w:szCs w:val="22"/>
        </w:rPr>
        <w:t xml:space="preserve"> and</w:t>
      </w:r>
      <w:r w:rsidRPr="00C17C00">
        <w:rPr>
          <w:szCs w:val="22"/>
        </w:rPr>
        <w:t xml:space="preserve"> the corrective actions to ensure compliance if traceability is not confirmed as 100%.</w:t>
      </w:r>
    </w:p>
    <w:p w14:paraId="1E30311F" w14:textId="77777777" w:rsidR="005E7F5F" w:rsidRPr="00C17C00" w:rsidRDefault="005E7F5F" w:rsidP="00C17C00">
      <w:pPr>
        <w:pStyle w:val="HPRAMainBodyText"/>
        <w:rPr>
          <w:szCs w:val="22"/>
        </w:rPr>
      </w:pPr>
    </w:p>
    <w:p w14:paraId="39D93F24" w14:textId="77777777" w:rsidR="005E7F5F" w:rsidRPr="00C17C00" w:rsidRDefault="005E7F5F" w:rsidP="00C17C00">
      <w:pPr>
        <w:pStyle w:val="HPRAMainBodyText"/>
        <w:rPr>
          <w:b/>
          <w:color w:val="007041" w:themeColor="accent4"/>
        </w:rPr>
      </w:pPr>
      <w:r w:rsidRPr="00C17C00">
        <w:rPr>
          <w:b/>
          <w:color w:val="007041" w:themeColor="accent4"/>
        </w:rPr>
        <w:t>Section 6 – Reporting of serious adverse events (SAEs) and serious adverse rea</w:t>
      </w:r>
      <w:r w:rsidR="00C17C00">
        <w:rPr>
          <w:b/>
          <w:color w:val="007041" w:themeColor="accent4"/>
        </w:rPr>
        <w:t xml:space="preserve">ctions </w:t>
      </w:r>
      <w:r w:rsidRPr="00C17C00">
        <w:rPr>
          <w:b/>
          <w:color w:val="007041" w:themeColor="accent4"/>
        </w:rPr>
        <w:t>(SARs)</w:t>
      </w:r>
    </w:p>
    <w:p w14:paraId="5E58097D" w14:textId="77777777" w:rsidR="005E7F5F" w:rsidRPr="00C17C00" w:rsidRDefault="005E7F5F" w:rsidP="00C17C00">
      <w:pPr>
        <w:pStyle w:val="HPRAMainBodyText"/>
        <w:rPr>
          <w:szCs w:val="22"/>
        </w:rPr>
      </w:pPr>
    </w:p>
    <w:p w14:paraId="7270F033" w14:textId="77777777" w:rsidR="005E7F5F" w:rsidRPr="00C17C00" w:rsidRDefault="005E7F5F" w:rsidP="00C17C00">
      <w:pPr>
        <w:pStyle w:val="HPRAMainBodyText"/>
        <w:rPr>
          <w:szCs w:val="22"/>
        </w:rPr>
      </w:pPr>
      <w:r w:rsidRPr="00C17C00">
        <w:rPr>
          <w:szCs w:val="22"/>
        </w:rPr>
        <w:t xml:space="preserve">The aim of this section is to provide an overview of the system for reporting SARs and SAEs within the hospital blood bank. </w:t>
      </w:r>
    </w:p>
    <w:p w14:paraId="71BBD507" w14:textId="77777777" w:rsidR="005E7F5F" w:rsidRPr="00C17C00" w:rsidRDefault="005E7F5F" w:rsidP="00C17C00">
      <w:pPr>
        <w:pStyle w:val="HPRAMainBodyText"/>
        <w:rPr>
          <w:szCs w:val="22"/>
        </w:rPr>
      </w:pPr>
    </w:p>
    <w:p w14:paraId="4DE85B2A" w14:textId="77777777" w:rsidR="005E7F5F" w:rsidRPr="00C17C00" w:rsidRDefault="005E7F5F" w:rsidP="00C17C00">
      <w:pPr>
        <w:pStyle w:val="HPRAMainBodyText"/>
        <w:rPr>
          <w:b/>
          <w:color w:val="007041" w:themeColor="accent4"/>
        </w:rPr>
      </w:pPr>
      <w:r w:rsidRPr="00C17C00">
        <w:rPr>
          <w:b/>
          <w:color w:val="007041" w:themeColor="accent4"/>
        </w:rPr>
        <w:lastRenderedPageBreak/>
        <w:t>Section 7 – Recall</w:t>
      </w:r>
    </w:p>
    <w:p w14:paraId="65FE2A34" w14:textId="77777777" w:rsidR="005E7F5F" w:rsidRPr="00C17C00" w:rsidRDefault="005E7F5F" w:rsidP="00C17C00">
      <w:pPr>
        <w:pStyle w:val="HPRAMainBodyText"/>
        <w:rPr>
          <w:szCs w:val="22"/>
        </w:rPr>
      </w:pPr>
    </w:p>
    <w:p w14:paraId="62A605D3" w14:textId="77777777" w:rsidR="005E7F5F" w:rsidRPr="00C17C00" w:rsidRDefault="005E7F5F" w:rsidP="00C17C00">
      <w:pPr>
        <w:pStyle w:val="HPRABulletedList"/>
      </w:pPr>
      <w:r w:rsidRPr="00C17C00">
        <w:t>Section 7.1</w:t>
      </w:r>
    </w:p>
    <w:p w14:paraId="163A4FF0" w14:textId="77777777" w:rsidR="005E7F5F" w:rsidRPr="00C17C00" w:rsidRDefault="005E7F5F" w:rsidP="00C17C00">
      <w:pPr>
        <w:pStyle w:val="HPRABulletedList"/>
        <w:numPr>
          <w:ilvl w:val="0"/>
          <w:numId w:val="0"/>
        </w:numPr>
        <w:ind w:left="284"/>
      </w:pPr>
      <w:r w:rsidRPr="00C17C00">
        <w:t>Provide brief details in relation to the procedure in place for the recall of blood and blood components.</w:t>
      </w:r>
    </w:p>
    <w:p w14:paraId="56196D52" w14:textId="77777777" w:rsidR="005E7F5F" w:rsidRPr="00C17C00" w:rsidRDefault="005E7F5F" w:rsidP="00833EAF">
      <w:pPr>
        <w:pStyle w:val="HPRABulletedList"/>
        <w:numPr>
          <w:ilvl w:val="0"/>
          <w:numId w:val="0"/>
        </w:numPr>
        <w:ind w:left="284" w:hanging="284"/>
      </w:pPr>
    </w:p>
    <w:p w14:paraId="2883D967" w14:textId="77777777" w:rsidR="005E7F5F" w:rsidRPr="00C17C00" w:rsidRDefault="005E7F5F" w:rsidP="00C17C00">
      <w:pPr>
        <w:pStyle w:val="HPRABulletedList"/>
      </w:pPr>
      <w:r w:rsidRPr="00C17C00">
        <w:t>Section 7.2</w:t>
      </w:r>
    </w:p>
    <w:p w14:paraId="65380C7F" w14:textId="77777777" w:rsidR="00034EBD" w:rsidRDefault="005E7F5F" w:rsidP="00C17C00">
      <w:pPr>
        <w:pStyle w:val="HPRABulletedList"/>
        <w:numPr>
          <w:ilvl w:val="0"/>
          <w:numId w:val="0"/>
        </w:numPr>
        <w:ind w:left="284"/>
      </w:pPr>
      <w:r w:rsidRPr="00C17C00">
        <w:t>Please confirm if this procedure extends to or includes the internal recall of blood components</w:t>
      </w:r>
      <w:r w:rsidR="00116B51">
        <w:t>,</w:t>
      </w:r>
      <w:r w:rsidRPr="00C17C00">
        <w:t xml:space="preserve"> i.e. those initiated by locally within the hospital. Please provide brief details or an explanation where relevant.</w:t>
      </w:r>
    </w:p>
    <w:p w14:paraId="32445A4D" w14:textId="77777777" w:rsidR="00034EBD" w:rsidRDefault="00034EBD">
      <w:pPr>
        <w:rPr>
          <w:rFonts w:ascii="Segoe UI" w:hAnsi="Segoe UI" w:cs="Segoe UI"/>
          <w:sz w:val="20"/>
          <w:szCs w:val="20"/>
        </w:rPr>
      </w:pPr>
    </w:p>
    <w:p w14:paraId="0349009C" w14:textId="77777777" w:rsidR="005E7F5F" w:rsidRPr="00C17C00" w:rsidRDefault="005E7F5F" w:rsidP="00C17C00">
      <w:pPr>
        <w:pStyle w:val="HPRAMainBodyText"/>
        <w:rPr>
          <w:b/>
          <w:color w:val="007041" w:themeColor="accent4"/>
        </w:rPr>
      </w:pPr>
      <w:r w:rsidRPr="00C17C00">
        <w:rPr>
          <w:b/>
          <w:color w:val="007041" w:themeColor="accent4"/>
        </w:rPr>
        <w:t>Section 8 – Storage of blood and blood components</w:t>
      </w:r>
    </w:p>
    <w:p w14:paraId="22A922D6" w14:textId="77777777" w:rsidR="005E7F5F" w:rsidRPr="00C17C00" w:rsidRDefault="005E7F5F" w:rsidP="00C17C00">
      <w:pPr>
        <w:pStyle w:val="HPRAMainBodyText"/>
        <w:rPr>
          <w:szCs w:val="22"/>
        </w:rPr>
      </w:pPr>
    </w:p>
    <w:p w14:paraId="4DAA2E21" w14:textId="77777777" w:rsidR="00C17C00" w:rsidRDefault="005E7F5F" w:rsidP="00034EBD">
      <w:pPr>
        <w:pStyle w:val="HPRAMainBodyText"/>
        <w:rPr>
          <w:szCs w:val="22"/>
        </w:rPr>
      </w:pPr>
      <w:r w:rsidRPr="00C17C00">
        <w:rPr>
          <w:szCs w:val="22"/>
        </w:rPr>
        <w:t>The aim of this section is to obtain an overview of the storage system for blood and blood components within the hospital.</w:t>
      </w:r>
    </w:p>
    <w:p w14:paraId="14B89649" w14:textId="77777777" w:rsidR="00034EBD" w:rsidRDefault="00034EBD" w:rsidP="00034EBD">
      <w:pPr>
        <w:pStyle w:val="HPRAMainBodyText"/>
      </w:pPr>
    </w:p>
    <w:p w14:paraId="086A3063" w14:textId="77777777" w:rsidR="005E7F5F" w:rsidRPr="00C17C00" w:rsidRDefault="005E7F5F" w:rsidP="00C17C00">
      <w:pPr>
        <w:pStyle w:val="HPRABulletedList"/>
      </w:pPr>
      <w:r w:rsidRPr="00C17C00">
        <w:t>Section 8.2</w:t>
      </w:r>
    </w:p>
    <w:p w14:paraId="6CCEEC7A" w14:textId="77777777" w:rsidR="005E7F5F" w:rsidRPr="00C17C00" w:rsidRDefault="005E7F5F" w:rsidP="00C17C00">
      <w:pPr>
        <w:pStyle w:val="HPRABulletedList"/>
        <w:numPr>
          <w:ilvl w:val="0"/>
          <w:numId w:val="0"/>
        </w:numPr>
        <w:ind w:left="284"/>
      </w:pPr>
      <w:r w:rsidRPr="00C17C00">
        <w:t>Provide details regarding the receipt and storage systems in place in the ho</w:t>
      </w:r>
      <w:r w:rsidR="00C17C00">
        <w:t xml:space="preserve">spital blood bank </w:t>
      </w:r>
      <w:r w:rsidRPr="00C17C00">
        <w:t>for blood and blood components. Include number and type of storage units in use.</w:t>
      </w:r>
      <w:r w:rsidRPr="00010A49">
        <w:t xml:space="preserve"> </w:t>
      </w:r>
      <w:r w:rsidRPr="00C17C00">
        <w:t>Indicate the temperatures that each type of blood component is stored at in the hospital blood bank.</w:t>
      </w:r>
    </w:p>
    <w:p w14:paraId="5952EC18" w14:textId="77777777" w:rsidR="005E7F5F" w:rsidRPr="00C17C00" w:rsidRDefault="005E7F5F" w:rsidP="00833EAF">
      <w:pPr>
        <w:pStyle w:val="HPRABulletedList"/>
        <w:numPr>
          <w:ilvl w:val="0"/>
          <w:numId w:val="0"/>
        </w:numPr>
        <w:ind w:left="284" w:hanging="284"/>
      </w:pPr>
    </w:p>
    <w:p w14:paraId="5D384496" w14:textId="77777777" w:rsidR="005E7F5F" w:rsidRPr="00C17C00" w:rsidRDefault="005E7F5F" w:rsidP="00C17C00">
      <w:pPr>
        <w:pStyle w:val="HPRABulletedList"/>
      </w:pPr>
      <w:r w:rsidRPr="00C17C00">
        <w:t>Section 8.7</w:t>
      </w:r>
    </w:p>
    <w:p w14:paraId="52AC0F99" w14:textId="77777777" w:rsidR="005E7F5F" w:rsidRPr="00C17C00" w:rsidRDefault="005E7F5F" w:rsidP="00034EBD">
      <w:pPr>
        <w:pStyle w:val="HPRABulletedList"/>
        <w:numPr>
          <w:ilvl w:val="0"/>
          <w:numId w:val="0"/>
        </w:numPr>
        <w:ind w:left="284"/>
      </w:pPr>
      <w:r w:rsidRPr="00C17C00">
        <w:t>Provide details regarding the storage of blood and blood components in satellite storage units within the hospital.</w:t>
      </w:r>
    </w:p>
    <w:p w14:paraId="2DDF4A02" w14:textId="77777777" w:rsidR="005E7F5F" w:rsidRPr="00C17C00" w:rsidRDefault="005E7F5F" w:rsidP="00C17C00">
      <w:pPr>
        <w:pStyle w:val="HPRAMainBodyText"/>
      </w:pPr>
    </w:p>
    <w:p w14:paraId="6A26F801" w14:textId="77777777" w:rsidR="005E7F5F" w:rsidRPr="00C17C00" w:rsidRDefault="005E7F5F" w:rsidP="00C17C00">
      <w:pPr>
        <w:pStyle w:val="HPRAMainBodyText"/>
        <w:rPr>
          <w:b/>
          <w:color w:val="007041" w:themeColor="accent4"/>
        </w:rPr>
      </w:pPr>
      <w:r w:rsidRPr="00C17C00">
        <w:rPr>
          <w:b/>
          <w:color w:val="007041" w:themeColor="accent4"/>
        </w:rPr>
        <w:t>Section 9 – Distribution of blood and blood components</w:t>
      </w:r>
    </w:p>
    <w:p w14:paraId="740530ED" w14:textId="77777777" w:rsidR="005E7F5F" w:rsidRPr="00C17C00" w:rsidRDefault="005E7F5F" w:rsidP="00C17C00">
      <w:pPr>
        <w:pStyle w:val="HPRAMainBodyText"/>
      </w:pPr>
    </w:p>
    <w:p w14:paraId="0632E9E4" w14:textId="77777777" w:rsidR="005E7F5F" w:rsidRPr="00C17C00" w:rsidRDefault="005E7F5F" w:rsidP="00C17C00">
      <w:pPr>
        <w:pStyle w:val="HPRAMainBodyText"/>
      </w:pPr>
      <w:r w:rsidRPr="00C17C00">
        <w:t>The aim of this section is to obtain an overview of the distribution of blood and blood components which occur at the hospital.</w:t>
      </w:r>
    </w:p>
    <w:p w14:paraId="6A43719E" w14:textId="77777777" w:rsidR="005E7F5F" w:rsidRPr="00C17C00" w:rsidRDefault="005E7F5F" w:rsidP="00C17C00">
      <w:pPr>
        <w:pStyle w:val="HPRAMainBodyText"/>
      </w:pPr>
    </w:p>
    <w:p w14:paraId="386AB788" w14:textId="77777777" w:rsidR="005E7F5F" w:rsidRPr="00C17C00" w:rsidRDefault="005E7F5F" w:rsidP="00C17C00">
      <w:pPr>
        <w:pStyle w:val="HPRABulletedList"/>
      </w:pPr>
      <w:r w:rsidRPr="00C17C00">
        <w:t>Section 9.1</w:t>
      </w:r>
    </w:p>
    <w:p w14:paraId="710F9CEB" w14:textId="77777777" w:rsidR="005E7F5F" w:rsidRPr="00C17C00" w:rsidRDefault="005E7F5F" w:rsidP="00C17C00">
      <w:pPr>
        <w:pStyle w:val="HPRABulletedList"/>
        <w:numPr>
          <w:ilvl w:val="0"/>
          <w:numId w:val="0"/>
        </w:numPr>
        <w:ind w:left="284"/>
      </w:pPr>
      <w:r w:rsidRPr="00C17C00">
        <w:t>Provide the names and addresses of all other facilities supplied with blood from the site specified in this report. This should include all hospitals, hospital blood banks, hospices and community hospitals.</w:t>
      </w:r>
    </w:p>
    <w:p w14:paraId="7F03CC44" w14:textId="77777777" w:rsidR="005E7F5F" w:rsidRPr="00C17C00" w:rsidRDefault="005E7F5F" w:rsidP="00833EAF">
      <w:pPr>
        <w:pStyle w:val="HPRABulletedList"/>
        <w:numPr>
          <w:ilvl w:val="0"/>
          <w:numId w:val="0"/>
        </w:numPr>
        <w:ind w:left="284" w:hanging="284"/>
      </w:pPr>
    </w:p>
    <w:p w14:paraId="4FC0584B" w14:textId="77777777" w:rsidR="005E7F5F" w:rsidRPr="00C17C00" w:rsidRDefault="005E7F5F" w:rsidP="00C17C00">
      <w:pPr>
        <w:pStyle w:val="HPRABulletedList"/>
      </w:pPr>
      <w:r w:rsidRPr="00C17C00">
        <w:t>Section 9.3</w:t>
      </w:r>
    </w:p>
    <w:p w14:paraId="21081E5F" w14:textId="77777777" w:rsidR="005E7F5F" w:rsidRPr="00C17C00" w:rsidRDefault="005E7F5F" w:rsidP="00C17C00">
      <w:pPr>
        <w:pStyle w:val="HPRABulletedList"/>
        <w:numPr>
          <w:ilvl w:val="0"/>
          <w:numId w:val="0"/>
        </w:numPr>
        <w:ind w:left="284"/>
      </w:pPr>
      <w:r w:rsidRPr="00C17C00">
        <w:t>Indicate the other services that the hospital blood bank provides to this site(s) by ticking the box associated with each service listed.</w:t>
      </w:r>
    </w:p>
    <w:p w14:paraId="4F81F648" w14:textId="77777777" w:rsidR="005E7F5F" w:rsidRPr="00C17C00" w:rsidRDefault="005E7F5F" w:rsidP="00833EAF">
      <w:pPr>
        <w:pStyle w:val="HPRABulletedList"/>
        <w:numPr>
          <w:ilvl w:val="0"/>
          <w:numId w:val="0"/>
        </w:numPr>
        <w:ind w:left="284" w:hanging="284"/>
      </w:pPr>
    </w:p>
    <w:p w14:paraId="47D204D8" w14:textId="77777777" w:rsidR="005E7F5F" w:rsidRPr="00C17C00" w:rsidRDefault="005E7F5F" w:rsidP="00C17C00">
      <w:pPr>
        <w:pStyle w:val="HPRABulletedList"/>
      </w:pPr>
      <w:r w:rsidRPr="00C17C00">
        <w:t>Section 9.4–9.6</w:t>
      </w:r>
    </w:p>
    <w:p w14:paraId="5F10A065" w14:textId="77777777" w:rsidR="005E7F5F" w:rsidRPr="00C17C00" w:rsidRDefault="005E7F5F" w:rsidP="00C17C00">
      <w:pPr>
        <w:pStyle w:val="HPRABulletedList"/>
        <w:numPr>
          <w:ilvl w:val="0"/>
          <w:numId w:val="0"/>
        </w:numPr>
        <w:ind w:left="284"/>
      </w:pPr>
      <w:r w:rsidRPr="00C17C00">
        <w:t>Indicate if a service level agreement or relevant policy/procedure is in place regarding the distribution of blood and blood components and the provision of extra services as indicated in section 9.3 to the sites listed in section 9.1.</w:t>
      </w:r>
    </w:p>
    <w:p w14:paraId="1BE618F0" w14:textId="77777777" w:rsidR="005E7F5F" w:rsidRPr="00C17C00" w:rsidRDefault="005E7F5F" w:rsidP="00833EAF">
      <w:pPr>
        <w:pStyle w:val="HPRABulletedList"/>
        <w:numPr>
          <w:ilvl w:val="0"/>
          <w:numId w:val="0"/>
        </w:numPr>
        <w:ind w:left="284" w:hanging="284"/>
      </w:pPr>
    </w:p>
    <w:p w14:paraId="65576549" w14:textId="245E2C43" w:rsidR="005E7F5F" w:rsidRPr="00C17C00" w:rsidRDefault="005E7F5F" w:rsidP="00C17C00">
      <w:pPr>
        <w:pStyle w:val="HPRABulletedList"/>
      </w:pPr>
      <w:r w:rsidRPr="00C17C00">
        <w:t>A service level agreement is required if the supplied facility is a separate legal entity</w:t>
      </w:r>
      <w:r w:rsidR="002677E0">
        <w:t>,</w:t>
      </w:r>
      <w:r w:rsidRPr="00C17C00">
        <w:t xml:space="preserve"> i.e. a private hospital/facility or a hospital/facility that is not within the same HSE network as the supplying hospital blood bank.</w:t>
      </w:r>
    </w:p>
    <w:p w14:paraId="64D580E7" w14:textId="77777777" w:rsidR="005E7F5F" w:rsidRPr="00C17C00" w:rsidRDefault="005E7F5F" w:rsidP="00833EAF">
      <w:pPr>
        <w:pStyle w:val="HPRABulletedList"/>
        <w:numPr>
          <w:ilvl w:val="0"/>
          <w:numId w:val="0"/>
        </w:numPr>
      </w:pPr>
    </w:p>
    <w:p w14:paraId="6DBF0085" w14:textId="77777777" w:rsidR="005E7F5F" w:rsidRPr="00C17C00" w:rsidRDefault="005E7F5F" w:rsidP="00C17C00">
      <w:pPr>
        <w:pStyle w:val="HPRABulletedList"/>
      </w:pPr>
      <w:r w:rsidRPr="00C17C00">
        <w:t>Section 9.7–9.8</w:t>
      </w:r>
    </w:p>
    <w:p w14:paraId="5383F004" w14:textId="5BA8B784" w:rsidR="00D1047B" w:rsidRPr="00C17C00" w:rsidRDefault="005E7F5F" w:rsidP="00C17C00">
      <w:pPr>
        <w:pStyle w:val="HPRABulletedList"/>
        <w:numPr>
          <w:ilvl w:val="0"/>
          <w:numId w:val="0"/>
        </w:numPr>
        <w:ind w:left="284"/>
      </w:pPr>
      <w:r w:rsidRPr="00C17C00">
        <w:t>Provide details relating to the sys</w:t>
      </w:r>
      <w:r w:rsidR="00112FCA">
        <w:t xml:space="preserve">tem/method that is used for the </w:t>
      </w:r>
      <w:r w:rsidRPr="00C17C00">
        <w:t>transport/delivery/</w:t>
      </w:r>
      <w:r w:rsidR="002677E0">
        <w:t xml:space="preserve"> </w:t>
      </w:r>
      <w:r w:rsidRPr="00C17C00">
        <w:t>distribution of blood components. Also provide details relating to the validation of this system/method.</w:t>
      </w:r>
    </w:p>
    <w:sectPr w:rsidR="00D1047B" w:rsidRPr="00C17C00" w:rsidSect="002559C4">
      <w:headerReference w:type="default" r:id="rId19"/>
      <w:footerReference w:type="default" r:id="rId20"/>
      <w:type w:val="continuous"/>
      <w:pgSz w:w="11906" w:h="16838" w:code="9"/>
      <w:pgMar w:top="2381" w:right="1814" w:bottom="2608" w:left="1814" w:header="170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33B88" w14:textId="77777777" w:rsidR="00497ABB" w:rsidRDefault="00497ABB" w:rsidP="00D1047B">
      <w:r>
        <w:separator/>
      </w:r>
    </w:p>
    <w:p w14:paraId="264FC2F9" w14:textId="77777777" w:rsidR="00497ABB" w:rsidRDefault="00497ABB"/>
  </w:endnote>
  <w:endnote w:type="continuationSeparator" w:id="0">
    <w:p w14:paraId="21D73B42" w14:textId="77777777" w:rsidR="00497ABB" w:rsidRDefault="00497ABB" w:rsidP="00D1047B">
      <w:r>
        <w:continuationSeparator/>
      </w:r>
    </w:p>
    <w:p w14:paraId="590929BE" w14:textId="77777777" w:rsidR="00497ABB" w:rsidRDefault="00497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2C2E" w14:textId="77777777" w:rsidR="00322F73" w:rsidRDefault="00322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F73F" w14:textId="0DF3C7C6" w:rsidR="00F74A89" w:rsidRDefault="00322F73" w:rsidP="00F74A89">
    <w:pPr>
      <w:pStyle w:val="HPRACoverPagefooter"/>
    </w:pPr>
    <w:r>
      <w:t>AUT-G0189-1</w:t>
    </w:r>
  </w:p>
  <w:p w14:paraId="1FDB1038" w14:textId="1DA5E986" w:rsidR="00F74A89" w:rsidRPr="00B47B2C" w:rsidRDefault="003327EB" w:rsidP="00F74A89">
    <w:pPr>
      <w:pStyle w:val="HPRACoverPagefooter"/>
    </w:pPr>
    <w:r>
      <w:t>1</w:t>
    </w:r>
    <w:r w:rsidR="00322F73">
      <w:t>2 JUNE 2026</w:t>
    </w:r>
  </w:p>
  <w:p w14:paraId="3209F023" w14:textId="77777777" w:rsidR="00F74A89" w:rsidRPr="00B47B2C" w:rsidRDefault="00F74A89" w:rsidP="00F74A89">
    <w:pPr>
      <w:pStyle w:val="HPRAFPFooter"/>
    </w:pPr>
    <w:r w:rsidRPr="00B47B2C">
      <w:t>This guide does not purport to be an interpretation of law and/or regulations and is for guidance purposes only.</w:t>
    </w:r>
    <w:r>
      <w:rPr>
        <w:noProof/>
        <w:lang w:eastAsia="en-IE"/>
      </w:rPr>
      <mc:AlternateContent>
        <mc:Choice Requires="wps">
          <w:drawing>
            <wp:anchor distT="0" distB="0" distL="114300" distR="114300" simplePos="0" relativeHeight="251664384" behindDoc="1" locked="1" layoutInCell="1" allowOverlap="1" wp14:anchorId="424E469B" wp14:editId="4FF7849F">
              <wp:simplePos x="0" y="0"/>
              <wp:positionH relativeFrom="page">
                <wp:posOffset>6127750</wp:posOffset>
              </wp:positionH>
              <wp:positionV relativeFrom="page">
                <wp:posOffset>7553960</wp:posOffset>
              </wp:positionV>
              <wp:extent cx="1440180" cy="2700020"/>
              <wp:effectExtent l="3175" t="635" r="444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70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7B934" w14:textId="77777777" w:rsidR="00F74A89" w:rsidRDefault="00F74A89" w:rsidP="00F74A89">
                          <w:r>
                            <w:rPr>
                              <w:noProof/>
                              <w:lang w:eastAsia="en-IE"/>
                            </w:rPr>
                            <w:drawing>
                              <wp:inline distT="0" distB="0" distL="0" distR="0" wp14:anchorId="13F8DE27" wp14:editId="170FF827">
                                <wp:extent cx="1438537" cy="2706400"/>
                                <wp:effectExtent l="0" t="0" r="9525" b="0"/>
                                <wp:docPr id="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1438537" cy="27064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E469B" id="_x0000_t202" coordsize="21600,21600" o:spt="202" path="m,l,21600r21600,l21600,xe">
              <v:stroke joinstyle="miter"/>
              <v:path gradientshapeok="t" o:connecttype="rect"/>
            </v:shapetype>
            <v:shape id="Text Box 2" o:spid="_x0000_s1027" type="#_x0000_t202" style="position:absolute;margin-left:482.5pt;margin-top:594.8pt;width:113.4pt;height:212.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" filled="f" stroked="f">
              <v:textbox inset="0,0,0,0">
                <w:txbxContent>
                  <w:p w14:paraId="4927B934" w14:textId="77777777" w:rsidR="00F74A89" w:rsidRDefault="00F74A89" w:rsidP="00F74A89">
                    <w:r>
                      <w:rPr>
                        <w:noProof/>
                        <w:lang w:eastAsia="en-IE"/>
                      </w:rPr>
                      <w:drawing>
                        <wp:inline distT="0" distB="0" distL="0" distR="0" wp14:anchorId="13F8DE27" wp14:editId="170FF827">
                          <wp:extent cx="1438537" cy="2706400"/>
                          <wp:effectExtent l="0" t="0" r="9525" b="0"/>
                          <wp:docPr id="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pic:nvPicPr>
                                <pic:blipFill>
                                  <a:blip r:embed="rId2"/>
                                  <a:stretch>
                                    <a:fillRect/>
                                  </a:stretch>
                                </pic:blipFill>
                                <pic:spPr>
                                  <a:xfrm>
                                    <a:off x="0" y="0"/>
                                    <a:ext cx="1438537" cy="2706400"/>
                                  </a:xfrm>
                                  <a:prstGeom prst="rect">
                                    <a:avLst/>
                                  </a:prstGeom>
                                </pic:spPr>
                              </pic:pic>
                            </a:graphicData>
                          </a:graphic>
                        </wp:inline>
                      </w:drawing>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927F" w14:textId="77777777" w:rsidR="00322F73" w:rsidRDefault="00322F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F391" w14:textId="78DF5C40" w:rsidR="007A23DA" w:rsidRPr="00E82AD9" w:rsidRDefault="00322F73" w:rsidP="00E82AD9">
    <w:pPr>
      <w:pStyle w:val="HPRAS2Footer"/>
      <w:rPr>
        <w:sz w:val="16"/>
        <w:szCs w:val="16"/>
      </w:rPr>
    </w:pPr>
    <w:r>
      <w:rPr>
        <w:sz w:val="16"/>
        <w:szCs w:val="16"/>
      </w:rPr>
      <w:t>AUT-G0189-1</w:t>
    </w:r>
    <w:r w:rsidR="007A23DA" w:rsidRPr="00A562DD">
      <w:rPr>
        <w:sz w:val="16"/>
        <w:szCs w:val="16"/>
      </w:rPr>
      <w:tab/>
    </w:r>
    <w:r w:rsidR="00D51E16">
      <w:rPr>
        <w:sz w:val="16"/>
        <w:szCs w:val="16"/>
      </w:rPr>
      <w:fldChar w:fldCharType="begin"/>
    </w:r>
    <w:r w:rsidR="007A23DA">
      <w:rPr>
        <w:sz w:val="16"/>
        <w:szCs w:val="16"/>
      </w:rPr>
      <w:instrText xml:space="preserve"> PAGE   \* MERGEFORMAT </w:instrText>
    </w:r>
    <w:r w:rsidR="00D51E16">
      <w:rPr>
        <w:sz w:val="16"/>
        <w:szCs w:val="16"/>
      </w:rPr>
      <w:fldChar w:fldCharType="separate"/>
    </w:r>
    <w:r w:rsidR="004A47D3">
      <w:rPr>
        <w:noProof/>
        <w:sz w:val="16"/>
        <w:szCs w:val="16"/>
      </w:rPr>
      <w:t>10</w:t>
    </w:r>
    <w:r w:rsidR="00D51E16">
      <w:rPr>
        <w:sz w:val="16"/>
        <w:szCs w:val="16"/>
      </w:rPr>
      <w:fldChar w:fldCharType="end"/>
    </w:r>
    <w:r w:rsidR="007A23DA" w:rsidRPr="00A562DD">
      <w:rPr>
        <w:sz w:val="16"/>
        <w:szCs w:val="16"/>
      </w:rPr>
      <w:t>/</w:t>
    </w:r>
    <w:fldSimple w:instr=" SECTIONPAGES   \* MERGEFORMAT ">
      <w:r w:rsidRPr="00322F73">
        <w:rPr>
          <w:noProof/>
          <w:sz w:val="16"/>
          <w:szCs w:val="16"/>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E6277" w14:textId="77777777" w:rsidR="00497ABB" w:rsidRDefault="00497ABB" w:rsidP="00D1047B">
      <w:r>
        <w:separator/>
      </w:r>
    </w:p>
    <w:p w14:paraId="0714452D" w14:textId="77777777" w:rsidR="00497ABB" w:rsidRDefault="00497ABB"/>
  </w:footnote>
  <w:footnote w:type="continuationSeparator" w:id="0">
    <w:p w14:paraId="56D4B3B1" w14:textId="77777777" w:rsidR="00497ABB" w:rsidRDefault="00497ABB" w:rsidP="00D1047B">
      <w:r>
        <w:continuationSeparator/>
      </w:r>
    </w:p>
    <w:p w14:paraId="38FE6E69" w14:textId="77777777" w:rsidR="00497ABB" w:rsidRDefault="00497A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99B9" w14:textId="77777777" w:rsidR="00322F73" w:rsidRDefault="00322F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D3A0" w14:textId="33431236" w:rsidR="00F74A89" w:rsidRDefault="00F74A89">
    <w:pPr>
      <w:pStyle w:val="Header"/>
    </w:pPr>
    <w:r w:rsidRPr="00F74A89">
      <w:rPr>
        <w:noProof/>
        <w:lang w:eastAsia="en-IE"/>
      </w:rPr>
      <w:t xml:space="preserve"> </w:t>
    </w:r>
    <w:r>
      <w:rPr>
        <w:noProof/>
        <w:lang w:eastAsia="en-IE"/>
      </w:rPr>
      <mc:AlternateContent>
        <mc:Choice Requires="wps">
          <w:drawing>
            <wp:anchor distT="0" distB="0" distL="114300" distR="114300" simplePos="0" relativeHeight="251662336" behindDoc="0" locked="1" layoutInCell="1" allowOverlap="0" wp14:anchorId="59B7BFBC" wp14:editId="34F94BCA">
              <wp:simplePos x="0" y="0"/>
              <wp:positionH relativeFrom="page">
                <wp:posOffset>5190490</wp:posOffset>
              </wp:positionH>
              <wp:positionV relativeFrom="page">
                <wp:posOffset>278130</wp:posOffset>
              </wp:positionV>
              <wp:extent cx="2087880" cy="1151890"/>
              <wp:effectExtent l="3810" t="4445" r="381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62F5A" w14:textId="29F6BB0F" w:rsidR="00F74A89" w:rsidRDefault="00F74A89" w:rsidP="00F74A89">
                          <w:r>
                            <w:rPr>
                              <w:noProof/>
                              <w:lang w:eastAsia="en-IE"/>
                            </w:rPr>
                            <w:drawing>
                              <wp:inline distT="0" distB="0" distL="0" distR="0" wp14:anchorId="7972E85E" wp14:editId="7151FBCE">
                                <wp:extent cx="2084660" cy="1158144"/>
                                <wp:effectExtent l="19050" t="0" r="0" b="0"/>
                                <wp:docPr id="3"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HPRA logo"/>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7BFBC" id="_x0000_t202" coordsize="21600,21600" o:spt="202" path="m,l,21600r21600,l21600,xe">
              <v:stroke joinstyle="miter"/>
              <v:path gradientshapeok="t" o:connecttype="rect"/>
            </v:shapetype>
            <v:shape id="Text Box 1" o:spid="_x0000_s1026" type="#_x0000_t202" style="position:absolute;margin-left:408.7pt;margin-top:21.9pt;width:164.4pt;height:90.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" o:allowoverlap="f" filled="f" stroked="f">
              <v:textbox inset="0,0,0,0">
                <w:txbxContent>
                  <w:p w14:paraId="48562F5A" w14:textId="29F6BB0F" w:rsidR="00F74A89" w:rsidRDefault="00F74A89" w:rsidP="00F74A89">
                    <w:r>
                      <w:rPr>
                        <w:noProof/>
                        <w:lang w:eastAsia="en-IE"/>
                      </w:rPr>
                      <w:drawing>
                        <wp:inline distT="0" distB="0" distL="0" distR="0" wp14:anchorId="7972E85E" wp14:editId="7151FBCE">
                          <wp:extent cx="2084660" cy="1158144"/>
                          <wp:effectExtent l="19050" t="0" r="0" b="0"/>
                          <wp:docPr id="3"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HPRA logo"/>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F82C" w14:textId="77777777" w:rsidR="00322F73" w:rsidRDefault="00322F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6FAE" w14:textId="77777777" w:rsidR="007A23DA" w:rsidRPr="007C4921" w:rsidRDefault="007A23DA" w:rsidP="007C4921">
    <w:pPr>
      <w:pStyle w:val="HPRAS2Header"/>
    </w:pPr>
    <w:r>
      <w:t xml:space="preserve">HPRA </w:t>
    </w:r>
    <w:r w:rsidRPr="005E7F5F">
      <w:t>Guide to Completion of the Hospital Blood Bank Annual Report</w:t>
    </w:r>
  </w:p>
  <w:p w14:paraId="399941C6" w14:textId="77777777" w:rsidR="007A23DA" w:rsidRDefault="007A23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F46EA2F2"/>
    <w:styleLink w:val="HPRAIndentedBulletedList"/>
    <w:lvl w:ilvl="0">
      <w:start w:val="1"/>
      <w:numFmt w:val="bullet"/>
      <w:pStyle w:val="HPRAIndentedBulletList"/>
      <w:lvlText w:val="-"/>
      <w:lvlJc w:val="left"/>
      <w:pPr>
        <w:tabs>
          <w:tab w:val="num" w:pos="567"/>
        </w:tabs>
        <w:ind w:left="567" w:hanging="283"/>
      </w:pPr>
      <w:rPr>
        <w:rFonts w:ascii="Segoe UI" w:hAnsi="Segoe UI" w:hint="default"/>
        <w:color w:val="007041" w:themeColor="accent4"/>
      </w:rPr>
    </w:lvl>
    <w:lvl w:ilvl="1">
      <w:start w:val="1"/>
      <w:numFmt w:val="bullet"/>
      <w:lvlText w:val="o"/>
      <w:lvlJc w:val="left"/>
      <w:pPr>
        <w:ind w:left="851" w:hanging="284"/>
      </w:pPr>
      <w:rPr>
        <w:rFonts w:ascii="Courier New" w:hAnsi="Courier New" w:hint="default"/>
        <w:color w:val="007041" w:themeColor="accent4"/>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F074495A"/>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7041" w:themeColor="accent4"/>
        <w:sz w:val="20"/>
      </w:rPr>
    </w:lvl>
    <w:lvl w:ilvl="1">
      <w:start w:val="1"/>
      <w:numFmt w:val="bullet"/>
      <w:lvlText w:val="-"/>
      <w:lvlJc w:val="left"/>
      <w:pPr>
        <w:tabs>
          <w:tab w:val="num" w:pos="709"/>
        </w:tabs>
        <w:ind w:left="992" w:hanging="283"/>
      </w:pPr>
      <w:rPr>
        <w:rFonts w:ascii="Segoe UI" w:hAnsi="Segoe UI" w:hint="default"/>
        <w:b w:val="0"/>
        <w:i w:val="0"/>
        <w:color w:val="007041" w:themeColor="accent4"/>
        <w:sz w:val="20"/>
      </w:rPr>
    </w:lvl>
    <w:lvl w:ilvl="2">
      <w:start w:val="1"/>
      <w:numFmt w:val="bullet"/>
      <w:pStyle w:val="HPRAArabicnumberalbulletedlist"/>
      <w:lvlText w:val="o"/>
      <w:lvlJc w:val="left"/>
      <w:pPr>
        <w:tabs>
          <w:tab w:val="num" w:pos="992"/>
        </w:tabs>
        <w:ind w:left="1276" w:hanging="284"/>
      </w:pPr>
      <w:rPr>
        <w:rFonts w:ascii="Courier New" w:hAnsi="Courier New" w:hint="default"/>
        <w:color w:val="007041" w:themeColor="accent4"/>
        <w:sz w:val="20"/>
      </w:rPr>
    </w:lvl>
    <w:lvl w:ilvl="3">
      <w:start w:val="1"/>
      <w:numFmt w:val="bullet"/>
      <w:lvlText w:val="o"/>
      <w:lvlJc w:val="left"/>
      <w:pPr>
        <w:ind w:left="1559" w:hanging="283"/>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69108FA"/>
    <w:multiLevelType w:val="multilevel"/>
    <w:tmpl w:val="F7E49264"/>
    <w:numStyleLink w:val="IndentedBulletedList"/>
  </w:abstractNum>
  <w:abstractNum w:abstractNumId="3" w15:restartNumberingAfterBreak="0">
    <w:nsid w:val="084606D0"/>
    <w:multiLevelType w:val="multilevel"/>
    <w:tmpl w:val="9A4E08E0"/>
    <w:styleLink w:val="HPRALowecaseAlphabetBullet"/>
    <w:lvl w:ilvl="0">
      <w:start w:val="1"/>
      <w:numFmt w:val="lowerLetter"/>
      <w:pStyle w:val="HPRALowercaseAlphabetBulletList"/>
      <w:lvlText w:val="%1)"/>
      <w:lvlJc w:val="left"/>
      <w:pPr>
        <w:ind w:left="709" w:hanging="709"/>
      </w:pPr>
      <w:rPr>
        <w:rFonts w:hint="default"/>
        <w:color w:val="007041" w:themeColor="accent4"/>
      </w:rPr>
    </w:lvl>
    <w:lvl w:ilvl="1">
      <w:start w:val="1"/>
      <w:numFmt w:val="bullet"/>
      <w:lvlText w:val="-"/>
      <w:lvlJc w:val="left"/>
      <w:pPr>
        <w:tabs>
          <w:tab w:val="num" w:pos="709"/>
        </w:tabs>
        <w:ind w:left="992" w:hanging="283"/>
      </w:pPr>
      <w:rPr>
        <w:rFonts w:ascii="Segoe UI" w:hAnsi="Segoe UI" w:hint="default"/>
        <w:color w:val="007041" w:themeColor="accent4"/>
      </w:rPr>
    </w:lvl>
    <w:lvl w:ilvl="2">
      <w:start w:val="1"/>
      <w:numFmt w:val="bullet"/>
      <w:lvlText w:val="o"/>
      <w:lvlJc w:val="left"/>
      <w:pPr>
        <w:tabs>
          <w:tab w:val="num" w:pos="992"/>
        </w:tabs>
        <w:ind w:left="1276" w:hanging="284"/>
      </w:pPr>
      <w:rPr>
        <w:rFonts w:ascii="Courier New" w:hAnsi="Courier New" w:hint="default"/>
        <w:color w:val="007041" w:themeColor="accent4"/>
      </w:rPr>
    </w:lvl>
    <w:lvl w:ilvl="3">
      <w:start w:val="1"/>
      <w:numFmt w:val="decimal"/>
      <w:lvlText w:val="(%4)"/>
      <w:lvlJc w:val="left"/>
      <w:pPr>
        <w:ind w:left="1559" w:hanging="283"/>
      </w:pPr>
      <w:rPr>
        <w:rFonts w:hint="default"/>
      </w:rPr>
    </w:lvl>
    <w:lvl w:ilvl="4">
      <w:start w:val="1"/>
      <w:numFmt w:val="lowerLetter"/>
      <w:lvlText w:val="(%5)"/>
      <w:lvlJc w:val="left"/>
      <w:pPr>
        <w:ind w:left="1843"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DC4FF2"/>
    <w:multiLevelType w:val="multilevel"/>
    <w:tmpl w:val="24A2C2A8"/>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7041" w:themeColor="accent4"/>
        <w:sz w:val="20"/>
      </w:rPr>
    </w:lvl>
    <w:lvl w:ilvl="1">
      <w:start w:val="1"/>
      <w:numFmt w:val="bullet"/>
      <w:lvlText w:val="-"/>
      <w:lvlJc w:val="left"/>
      <w:pPr>
        <w:ind w:left="992" w:hanging="283"/>
      </w:pPr>
      <w:rPr>
        <w:rFonts w:ascii="Segoe UI" w:hAnsi="Segoe UI" w:hint="default"/>
        <w:color w:val="007041" w:themeColor="accent4"/>
        <w:sz w:val="16"/>
      </w:rPr>
    </w:lvl>
    <w:lvl w:ilvl="2">
      <w:start w:val="1"/>
      <w:numFmt w:val="bullet"/>
      <w:lvlRestart w:val="1"/>
      <w:lvlText w:val="o"/>
      <w:lvlJc w:val="left"/>
      <w:pPr>
        <w:ind w:left="1276" w:hanging="284"/>
      </w:pPr>
      <w:rPr>
        <w:rFonts w:ascii="Courier New" w:hAnsi="Courier New" w:hint="default"/>
        <w:color w:val="007041" w:themeColor="accent4"/>
      </w:rPr>
    </w:lvl>
    <w:lvl w:ilvl="3">
      <w:start w:val="1"/>
      <w:numFmt w:val="lowerRoman"/>
      <w:lvlText w:val="%4)"/>
      <w:lvlJc w:val="left"/>
      <w:pPr>
        <w:ind w:left="1559" w:hanging="283"/>
      </w:pPr>
      <w:rPr>
        <w:rFonts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11E3115"/>
    <w:multiLevelType w:val="multilevel"/>
    <w:tmpl w:val="24A2C2A8"/>
    <w:numStyleLink w:val="HPRAAlphabetBulletedList"/>
  </w:abstractNum>
  <w:abstractNum w:abstractNumId="6" w15:restartNumberingAfterBreak="0">
    <w:nsid w:val="221E08AB"/>
    <w:multiLevelType w:val="multilevel"/>
    <w:tmpl w:val="0BDAF322"/>
    <w:styleLink w:val="HPRARomanNumeralsBulletedlist"/>
    <w:lvl w:ilvl="0">
      <w:start w:val="1"/>
      <w:numFmt w:val="lowerRoman"/>
      <w:pStyle w:val="HPRARomanNumeralsBulletedList0"/>
      <w:lvlText w:val="(%1)"/>
      <w:lvlJc w:val="left"/>
      <w:pPr>
        <w:ind w:left="709" w:hanging="709"/>
      </w:pPr>
      <w:rPr>
        <w:rFonts w:hint="default"/>
        <w:color w:val="007041" w:themeColor="accent4"/>
      </w:rPr>
    </w:lvl>
    <w:lvl w:ilvl="1">
      <w:start w:val="1"/>
      <w:numFmt w:val="bullet"/>
      <w:lvlText w:val="-"/>
      <w:lvlJc w:val="left"/>
      <w:pPr>
        <w:tabs>
          <w:tab w:val="num" w:pos="709"/>
        </w:tabs>
        <w:ind w:left="992" w:hanging="283"/>
      </w:pPr>
      <w:rPr>
        <w:rFonts w:ascii="Segoe UI" w:hAnsi="Segoe UI" w:hint="default"/>
        <w:color w:val="007041" w:themeColor="accent4"/>
      </w:rPr>
    </w:lvl>
    <w:lvl w:ilvl="2">
      <w:start w:val="1"/>
      <w:numFmt w:val="bullet"/>
      <w:lvlText w:val="o"/>
      <w:lvlJc w:val="left"/>
      <w:pPr>
        <w:tabs>
          <w:tab w:val="num" w:pos="992"/>
        </w:tabs>
        <w:ind w:left="1276" w:hanging="284"/>
      </w:pPr>
      <w:rPr>
        <w:rFonts w:ascii="Courier New" w:hAnsi="Courier New" w:hint="default"/>
        <w:color w:val="007041" w:themeColor="accent4"/>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DB672E"/>
    <w:multiLevelType w:val="hybridMultilevel"/>
    <w:tmpl w:val="53F8A6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676B7F"/>
    <w:multiLevelType w:val="hybridMultilevel"/>
    <w:tmpl w:val="871EED54"/>
    <w:lvl w:ilvl="0" w:tplc="D2DCE7B6">
      <w:numFmt w:val="bullet"/>
      <w:lvlText w:val="-"/>
      <w:lvlJc w:val="left"/>
      <w:pPr>
        <w:ind w:left="720" w:hanging="360"/>
      </w:p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A8030B6"/>
    <w:multiLevelType w:val="multilevel"/>
    <w:tmpl w:val="B3EE4AE4"/>
    <w:styleLink w:val="Style1"/>
    <w:lvl w:ilvl="0">
      <w:start w:val="1"/>
      <w:numFmt w:val="bullet"/>
      <w:pStyle w:val="HPRABulletedList"/>
      <w:lvlText w:val="-"/>
      <w:lvlJc w:val="left"/>
      <w:pPr>
        <w:ind w:left="284" w:hanging="284"/>
      </w:pPr>
      <w:rPr>
        <w:rFonts w:ascii="Segoe UI" w:hAnsi="Segoe UI" w:hint="default"/>
        <w:b w:val="0"/>
        <w:i w:val="0"/>
        <w:color w:val="007041" w:themeColor="accent4"/>
        <w:sz w:val="20"/>
      </w:rPr>
    </w:lvl>
    <w:lvl w:ilvl="1">
      <w:start w:val="1"/>
      <w:numFmt w:val="bullet"/>
      <w:lvlText w:val="o"/>
      <w:lvlJc w:val="left"/>
      <w:pPr>
        <w:ind w:left="567" w:hanging="283"/>
      </w:pPr>
      <w:rPr>
        <w:rFonts w:ascii="Courier New" w:hAnsi="Courier New" w:hint="default"/>
        <w:color w:val="007041" w:themeColor="accent4"/>
        <w:sz w:val="16"/>
      </w:rPr>
    </w:lvl>
    <w:lvl w:ilvl="2">
      <w:start w:val="1"/>
      <w:numFmt w:val="bullet"/>
      <w:lvlText w:val="-"/>
      <w:lvlJc w:val="left"/>
      <w:pPr>
        <w:ind w:left="851" w:hanging="284"/>
      </w:pPr>
      <w:rPr>
        <w:rFonts w:ascii="Segoe UI" w:hAnsi="Segoe UI" w:hint="default"/>
        <w:color w:val="007041" w:themeColor="accent4"/>
      </w:rPr>
    </w:lvl>
    <w:lvl w:ilvl="3">
      <w:start w:val="1"/>
      <w:numFmt w:val="bullet"/>
      <w:lvlText w:val="o"/>
      <w:lvlJc w:val="left"/>
      <w:pPr>
        <w:ind w:left="1418" w:hanging="284"/>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0" w15:restartNumberingAfterBreak="0">
    <w:nsid w:val="2E4E2F57"/>
    <w:multiLevelType w:val="multilevel"/>
    <w:tmpl w:val="EA16F702"/>
    <w:styleLink w:val="HPRANumberedList"/>
    <w:lvl w:ilvl="0">
      <w:start w:val="1"/>
      <w:numFmt w:val="decimal"/>
      <w:pStyle w:val="HPRAHeadingL1"/>
      <w:lvlText w:val="%1"/>
      <w:lvlJc w:val="left"/>
      <w:pPr>
        <w:ind w:left="360" w:hanging="360"/>
      </w:pPr>
      <w:rPr>
        <w:rFonts w:asciiTheme="majorHAnsi" w:hAnsiTheme="majorHAnsi" w:hint="default"/>
        <w:b/>
        <w:color w:val="007041" w:themeColor="accent4"/>
        <w:sz w:val="20"/>
      </w:rPr>
    </w:lvl>
    <w:lvl w:ilvl="1">
      <w:start w:val="1"/>
      <w:numFmt w:val="decimal"/>
      <w:pStyle w:val="HPRAHeadingL2"/>
      <w:lvlText w:val="%1.%2"/>
      <w:lvlJc w:val="left"/>
      <w:pPr>
        <w:ind w:left="360" w:hanging="360"/>
      </w:pPr>
      <w:rPr>
        <w:rFonts w:asciiTheme="majorHAnsi" w:hAnsiTheme="majorHAnsi" w:hint="default"/>
        <w:b/>
        <w:color w:val="007041" w:themeColor="accent4"/>
        <w:sz w:val="20"/>
      </w:rPr>
    </w:lvl>
    <w:lvl w:ilvl="2">
      <w:start w:val="1"/>
      <w:numFmt w:val="decimal"/>
      <w:pStyle w:val="HPRAHeadingL3"/>
      <w:lvlText w:val="%1.%2.%3"/>
      <w:lvlJc w:val="left"/>
      <w:pPr>
        <w:ind w:left="720" w:hanging="720"/>
      </w:pPr>
      <w:rPr>
        <w:rFonts w:asciiTheme="minorHAnsi" w:hAnsiTheme="minorHAnsi" w:hint="default"/>
        <w:color w:val="007041" w:themeColor="accent4"/>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A87094"/>
    <w:multiLevelType w:val="multilevel"/>
    <w:tmpl w:val="7ACE9B0E"/>
    <w:lvl w:ilvl="0">
      <w:start w:val="1"/>
      <w:numFmt w:val="decimal"/>
      <w:pStyle w:val="HPRANumberedList0"/>
      <w:lvlText w:val="%1"/>
      <w:lvlJc w:val="left"/>
      <w:pPr>
        <w:ind w:left="360" w:hanging="360"/>
      </w:pPr>
      <w:rPr>
        <w:rFonts w:ascii="Segoe UI" w:hAnsi="Segoe UI" w:hint="default"/>
        <w:b w:val="0"/>
        <w:i w:val="0"/>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b/>
        <w:color w:val="007041" w:themeColor="accent4"/>
        <w:sz w:val="20"/>
      </w:rPr>
    </w:lvl>
    <w:lvl w:ilvl="3">
      <w:start w:val="1"/>
      <w:numFmt w:val="decimal"/>
      <w:lvlText w:val="%1.%2.%3.%4"/>
      <w:lvlJc w:val="left"/>
      <w:pPr>
        <w:ind w:left="720" w:hanging="720"/>
      </w:pPr>
      <w:rPr>
        <w:rFonts w:asciiTheme="minorHAnsi" w:hAnsiTheme="minorHAnsi" w:hint="default"/>
        <w:b/>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867372"/>
    <w:multiLevelType w:val="multilevel"/>
    <w:tmpl w:val="0BDAF322"/>
    <w:numStyleLink w:val="HPRARomanNumeralsBulletedlist"/>
  </w:abstractNum>
  <w:abstractNum w:abstractNumId="13" w15:restartNumberingAfterBreak="0">
    <w:nsid w:val="40D2052D"/>
    <w:multiLevelType w:val="hybridMultilevel"/>
    <w:tmpl w:val="CE24CE90"/>
    <w:lvl w:ilvl="0" w:tplc="0772E24A">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6041AD"/>
    <w:multiLevelType w:val="multilevel"/>
    <w:tmpl w:val="F074495A"/>
    <w:numStyleLink w:val="HPRAArabicNumerals"/>
  </w:abstractNum>
  <w:abstractNum w:abstractNumId="15" w15:restartNumberingAfterBreak="0">
    <w:nsid w:val="5C737E39"/>
    <w:multiLevelType w:val="multilevel"/>
    <w:tmpl w:val="F7E49264"/>
    <w:styleLink w:val="IndentedBulletedList"/>
    <w:lvl w:ilvl="0">
      <w:start w:val="1"/>
      <w:numFmt w:val="bullet"/>
      <w:pStyle w:val="HPRAGreaterindentbulletedlist"/>
      <w:lvlText w:val="-"/>
      <w:lvlJc w:val="left"/>
      <w:pPr>
        <w:tabs>
          <w:tab w:val="num" w:pos="709"/>
        </w:tabs>
        <w:ind w:left="992" w:hanging="283"/>
      </w:pPr>
      <w:rPr>
        <w:rFonts w:ascii="Segoe UI" w:hAnsi="Segoe UI" w:hint="default"/>
        <w:color w:val="007041" w:themeColor="accent4"/>
      </w:rPr>
    </w:lvl>
    <w:lvl w:ilvl="1">
      <w:start w:val="1"/>
      <w:numFmt w:val="bullet"/>
      <w:lvlText w:val="o"/>
      <w:lvlJc w:val="left"/>
      <w:pPr>
        <w:tabs>
          <w:tab w:val="num" w:pos="992"/>
        </w:tabs>
        <w:ind w:left="1276" w:hanging="284"/>
      </w:pPr>
      <w:rPr>
        <w:rFonts w:ascii="Courier New" w:hAnsi="Courier New" w:hint="default"/>
        <w:color w:val="007041" w:themeColor="accent4"/>
      </w:rPr>
    </w:lvl>
    <w:lvl w:ilvl="2">
      <w:start w:val="1"/>
      <w:numFmt w:val="lowerRoman"/>
      <w:lvlText w:val="%3)"/>
      <w:lvlJc w:val="left"/>
      <w:pPr>
        <w:ind w:left="1559"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6" w15:restartNumberingAfterBreak="0">
    <w:nsid w:val="69D02B78"/>
    <w:multiLevelType w:val="multilevel"/>
    <w:tmpl w:val="EA16F702"/>
    <w:numStyleLink w:val="HPRANumberedList"/>
  </w:abstractNum>
  <w:abstractNum w:abstractNumId="17" w15:restartNumberingAfterBreak="0">
    <w:nsid w:val="6E3B1D89"/>
    <w:multiLevelType w:val="multilevel"/>
    <w:tmpl w:val="B3EE4AE4"/>
    <w:numStyleLink w:val="Style1"/>
  </w:abstractNum>
  <w:abstractNum w:abstractNumId="18" w15:restartNumberingAfterBreak="0">
    <w:nsid w:val="6E9650B6"/>
    <w:multiLevelType w:val="multilevel"/>
    <w:tmpl w:val="F46EA2F2"/>
    <w:numStyleLink w:val="HPRAIndentedBulletedList"/>
  </w:abstractNum>
  <w:num w:numId="1" w16cid:durableId="2028603760">
    <w:abstractNumId w:val="10"/>
  </w:num>
  <w:num w:numId="2" w16cid:durableId="1926062885">
    <w:abstractNumId w:val="11"/>
  </w:num>
  <w:num w:numId="3" w16cid:durableId="865874698">
    <w:abstractNumId w:val="16"/>
  </w:num>
  <w:num w:numId="4" w16cid:durableId="1952587106">
    <w:abstractNumId w:val="3"/>
  </w:num>
  <w:num w:numId="5" w16cid:durableId="1216576889">
    <w:abstractNumId w:val="6"/>
  </w:num>
  <w:num w:numId="6" w16cid:durableId="830564786">
    <w:abstractNumId w:val="4"/>
  </w:num>
  <w:num w:numId="7" w16cid:durableId="28846093">
    <w:abstractNumId w:val="1"/>
  </w:num>
  <w:num w:numId="8" w16cid:durableId="5795927">
    <w:abstractNumId w:val="15"/>
  </w:num>
  <w:num w:numId="9" w16cid:durableId="1798376071">
    <w:abstractNumId w:val="5"/>
  </w:num>
  <w:num w:numId="10" w16cid:durableId="1419256236">
    <w:abstractNumId w:val="14"/>
  </w:num>
  <w:num w:numId="11" w16cid:durableId="243148723">
    <w:abstractNumId w:val="0"/>
  </w:num>
  <w:num w:numId="12" w16cid:durableId="1064064806">
    <w:abstractNumId w:val="9"/>
  </w:num>
  <w:num w:numId="13" w16cid:durableId="2089648092">
    <w:abstractNumId w:val="17"/>
  </w:num>
  <w:num w:numId="14" w16cid:durableId="912860426">
    <w:abstractNumId w:val="18"/>
  </w:num>
  <w:num w:numId="15" w16cid:durableId="280841832">
    <w:abstractNumId w:val="2"/>
  </w:num>
  <w:num w:numId="16" w16cid:durableId="1776510144">
    <w:abstractNumId w:val="12"/>
  </w:num>
  <w:num w:numId="17" w16cid:durableId="1453943191">
    <w:abstractNumId w:val="13"/>
  </w:num>
  <w:num w:numId="18" w16cid:durableId="1296519081">
    <w:abstractNumId w:val="7"/>
  </w:num>
  <w:num w:numId="19" w16cid:durableId="557593518">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F5F"/>
    <w:rsid w:val="00002EAB"/>
    <w:rsid w:val="0002108B"/>
    <w:rsid w:val="00032408"/>
    <w:rsid w:val="00034EBD"/>
    <w:rsid w:val="00065303"/>
    <w:rsid w:val="000815A4"/>
    <w:rsid w:val="00084F62"/>
    <w:rsid w:val="00096948"/>
    <w:rsid w:val="000A5F7E"/>
    <w:rsid w:val="000B06B3"/>
    <w:rsid w:val="000B1F43"/>
    <w:rsid w:val="000B7861"/>
    <w:rsid w:val="000C3A36"/>
    <w:rsid w:val="000E07B3"/>
    <w:rsid w:val="000E4472"/>
    <w:rsid w:val="000F00D5"/>
    <w:rsid w:val="000F12C8"/>
    <w:rsid w:val="000F46FF"/>
    <w:rsid w:val="000F6F98"/>
    <w:rsid w:val="00101CA5"/>
    <w:rsid w:val="00107CB5"/>
    <w:rsid w:val="00112FCA"/>
    <w:rsid w:val="00116B51"/>
    <w:rsid w:val="001243A1"/>
    <w:rsid w:val="00142FF7"/>
    <w:rsid w:val="00184400"/>
    <w:rsid w:val="00187822"/>
    <w:rsid w:val="00193F03"/>
    <w:rsid w:val="0019428B"/>
    <w:rsid w:val="001E433D"/>
    <w:rsid w:val="001F2CC0"/>
    <w:rsid w:val="001F7219"/>
    <w:rsid w:val="00203343"/>
    <w:rsid w:val="00211783"/>
    <w:rsid w:val="002127A6"/>
    <w:rsid w:val="002133BF"/>
    <w:rsid w:val="00224180"/>
    <w:rsid w:val="0022662E"/>
    <w:rsid w:val="00236A19"/>
    <w:rsid w:val="00241C37"/>
    <w:rsid w:val="00242D63"/>
    <w:rsid w:val="00244916"/>
    <w:rsid w:val="00247336"/>
    <w:rsid w:val="002559C4"/>
    <w:rsid w:val="00262175"/>
    <w:rsid w:val="00262AE4"/>
    <w:rsid w:val="002677E0"/>
    <w:rsid w:val="0029394D"/>
    <w:rsid w:val="00295E03"/>
    <w:rsid w:val="002A6CD2"/>
    <w:rsid w:val="002C5117"/>
    <w:rsid w:val="002F2483"/>
    <w:rsid w:val="00302433"/>
    <w:rsid w:val="003066AF"/>
    <w:rsid w:val="00321058"/>
    <w:rsid w:val="00322F73"/>
    <w:rsid w:val="003327EB"/>
    <w:rsid w:val="003429F3"/>
    <w:rsid w:val="00343553"/>
    <w:rsid w:val="003522D8"/>
    <w:rsid w:val="00355E22"/>
    <w:rsid w:val="00357EAC"/>
    <w:rsid w:val="003632F0"/>
    <w:rsid w:val="003650B6"/>
    <w:rsid w:val="00365679"/>
    <w:rsid w:val="0036784E"/>
    <w:rsid w:val="00370C8F"/>
    <w:rsid w:val="00387945"/>
    <w:rsid w:val="00390487"/>
    <w:rsid w:val="003A3AA9"/>
    <w:rsid w:val="003B5519"/>
    <w:rsid w:val="003C146E"/>
    <w:rsid w:val="003C60B7"/>
    <w:rsid w:val="0041659A"/>
    <w:rsid w:val="00420F7F"/>
    <w:rsid w:val="004222DA"/>
    <w:rsid w:val="00422AEA"/>
    <w:rsid w:val="00445694"/>
    <w:rsid w:val="004636C3"/>
    <w:rsid w:val="00490D2E"/>
    <w:rsid w:val="00497ABB"/>
    <w:rsid w:val="004A3E13"/>
    <w:rsid w:val="004A417B"/>
    <w:rsid w:val="004A47D3"/>
    <w:rsid w:val="004B1144"/>
    <w:rsid w:val="004B4377"/>
    <w:rsid w:val="004B5E57"/>
    <w:rsid w:val="004D2C1B"/>
    <w:rsid w:val="00505327"/>
    <w:rsid w:val="00506B31"/>
    <w:rsid w:val="00515577"/>
    <w:rsid w:val="00525322"/>
    <w:rsid w:val="00530C3B"/>
    <w:rsid w:val="00533BA3"/>
    <w:rsid w:val="005414F9"/>
    <w:rsid w:val="00560286"/>
    <w:rsid w:val="00570F9A"/>
    <w:rsid w:val="00573170"/>
    <w:rsid w:val="00580F8A"/>
    <w:rsid w:val="005920D6"/>
    <w:rsid w:val="00597674"/>
    <w:rsid w:val="005A7A86"/>
    <w:rsid w:val="005C4337"/>
    <w:rsid w:val="005D0EC9"/>
    <w:rsid w:val="005E7F5F"/>
    <w:rsid w:val="00603DF8"/>
    <w:rsid w:val="006338CF"/>
    <w:rsid w:val="0065160E"/>
    <w:rsid w:val="006527B0"/>
    <w:rsid w:val="00653321"/>
    <w:rsid w:val="00653886"/>
    <w:rsid w:val="00661F4E"/>
    <w:rsid w:val="00683C21"/>
    <w:rsid w:val="006A53C5"/>
    <w:rsid w:val="006B790D"/>
    <w:rsid w:val="006E1B54"/>
    <w:rsid w:val="006E5987"/>
    <w:rsid w:val="00706799"/>
    <w:rsid w:val="007074A2"/>
    <w:rsid w:val="007119C3"/>
    <w:rsid w:val="00716B9E"/>
    <w:rsid w:val="00726FA2"/>
    <w:rsid w:val="007314A0"/>
    <w:rsid w:val="00744093"/>
    <w:rsid w:val="00754881"/>
    <w:rsid w:val="00755F65"/>
    <w:rsid w:val="00762A13"/>
    <w:rsid w:val="007909A8"/>
    <w:rsid w:val="0079143B"/>
    <w:rsid w:val="007A23DA"/>
    <w:rsid w:val="007A2BEC"/>
    <w:rsid w:val="007A70AD"/>
    <w:rsid w:val="007B53EB"/>
    <w:rsid w:val="007B6906"/>
    <w:rsid w:val="007C1EC3"/>
    <w:rsid w:val="007C4921"/>
    <w:rsid w:val="007C4EF4"/>
    <w:rsid w:val="007E4CFC"/>
    <w:rsid w:val="007F0300"/>
    <w:rsid w:val="007F2BF8"/>
    <w:rsid w:val="0080014C"/>
    <w:rsid w:val="00807642"/>
    <w:rsid w:val="00812927"/>
    <w:rsid w:val="00826799"/>
    <w:rsid w:val="00833EAF"/>
    <w:rsid w:val="008431CF"/>
    <w:rsid w:val="00852FD3"/>
    <w:rsid w:val="0085553E"/>
    <w:rsid w:val="00855858"/>
    <w:rsid w:val="0086409F"/>
    <w:rsid w:val="0088278B"/>
    <w:rsid w:val="00894D88"/>
    <w:rsid w:val="008C13CA"/>
    <w:rsid w:val="008C33C4"/>
    <w:rsid w:val="00902A84"/>
    <w:rsid w:val="00907875"/>
    <w:rsid w:val="00931994"/>
    <w:rsid w:val="00937A49"/>
    <w:rsid w:val="0094175E"/>
    <w:rsid w:val="009545E0"/>
    <w:rsid w:val="009558EA"/>
    <w:rsid w:val="00965F7F"/>
    <w:rsid w:val="00981863"/>
    <w:rsid w:val="00992748"/>
    <w:rsid w:val="009C499F"/>
    <w:rsid w:val="009D31FD"/>
    <w:rsid w:val="009E6183"/>
    <w:rsid w:val="009F1613"/>
    <w:rsid w:val="009F249A"/>
    <w:rsid w:val="00A13EC4"/>
    <w:rsid w:val="00A274F0"/>
    <w:rsid w:val="00A30F08"/>
    <w:rsid w:val="00A559F8"/>
    <w:rsid w:val="00A562DD"/>
    <w:rsid w:val="00A65836"/>
    <w:rsid w:val="00A85878"/>
    <w:rsid w:val="00A91485"/>
    <w:rsid w:val="00AC35C5"/>
    <w:rsid w:val="00AD6166"/>
    <w:rsid w:val="00AE51B8"/>
    <w:rsid w:val="00AF7017"/>
    <w:rsid w:val="00B04B17"/>
    <w:rsid w:val="00B11F79"/>
    <w:rsid w:val="00B20341"/>
    <w:rsid w:val="00B32D3A"/>
    <w:rsid w:val="00B4396D"/>
    <w:rsid w:val="00B478F8"/>
    <w:rsid w:val="00B47B2C"/>
    <w:rsid w:val="00B51A30"/>
    <w:rsid w:val="00B53B32"/>
    <w:rsid w:val="00B56076"/>
    <w:rsid w:val="00B6327A"/>
    <w:rsid w:val="00B70639"/>
    <w:rsid w:val="00B70B69"/>
    <w:rsid w:val="00B912B2"/>
    <w:rsid w:val="00BC11DB"/>
    <w:rsid w:val="00C11385"/>
    <w:rsid w:val="00C17C00"/>
    <w:rsid w:val="00C53B20"/>
    <w:rsid w:val="00C54381"/>
    <w:rsid w:val="00C64532"/>
    <w:rsid w:val="00C6483E"/>
    <w:rsid w:val="00C662EC"/>
    <w:rsid w:val="00C97A08"/>
    <w:rsid w:val="00CA1F2A"/>
    <w:rsid w:val="00CA36C3"/>
    <w:rsid w:val="00CB12E9"/>
    <w:rsid w:val="00CB1FE8"/>
    <w:rsid w:val="00CB4B8C"/>
    <w:rsid w:val="00CC030C"/>
    <w:rsid w:val="00CC0CD1"/>
    <w:rsid w:val="00CC2063"/>
    <w:rsid w:val="00D1047B"/>
    <w:rsid w:val="00D13731"/>
    <w:rsid w:val="00D14B2A"/>
    <w:rsid w:val="00D32817"/>
    <w:rsid w:val="00D51E16"/>
    <w:rsid w:val="00D64A7F"/>
    <w:rsid w:val="00D77F6E"/>
    <w:rsid w:val="00D8325E"/>
    <w:rsid w:val="00DA3FE0"/>
    <w:rsid w:val="00DC78DC"/>
    <w:rsid w:val="00DD0C7D"/>
    <w:rsid w:val="00DE3813"/>
    <w:rsid w:val="00E152A1"/>
    <w:rsid w:val="00E31018"/>
    <w:rsid w:val="00E336CD"/>
    <w:rsid w:val="00E401F0"/>
    <w:rsid w:val="00E408FB"/>
    <w:rsid w:val="00E50FE1"/>
    <w:rsid w:val="00E639BA"/>
    <w:rsid w:val="00E746D3"/>
    <w:rsid w:val="00E82AD9"/>
    <w:rsid w:val="00E91BAD"/>
    <w:rsid w:val="00EA0F1E"/>
    <w:rsid w:val="00EA4CD3"/>
    <w:rsid w:val="00EC4B1A"/>
    <w:rsid w:val="00ED1871"/>
    <w:rsid w:val="00ED3863"/>
    <w:rsid w:val="00EE02A5"/>
    <w:rsid w:val="00EF6341"/>
    <w:rsid w:val="00F339A5"/>
    <w:rsid w:val="00F67C77"/>
    <w:rsid w:val="00F71F07"/>
    <w:rsid w:val="00F74A89"/>
    <w:rsid w:val="00F75741"/>
    <w:rsid w:val="00F9380C"/>
    <w:rsid w:val="00FB0B45"/>
    <w:rsid w:val="00FC2E16"/>
    <w:rsid w:val="00FE7DB8"/>
    <w:rsid w:val="00FF72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4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semiHidden/>
    <w:qFormat/>
    <w:rsid w:val="00203343"/>
  </w:style>
  <w:style w:type="paragraph" w:styleId="Heading1">
    <w:name w:val="heading 1"/>
    <w:basedOn w:val="Normal"/>
    <w:next w:val="Normal"/>
    <w:link w:val="Heading1Char"/>
    <w:uiPriority w:val="9"/>
    <w:semiHidden/>
    <w:qFormat/>
    <w:rsid w:val="00D13731"/>
    <w:pPr>
      <w:keepNext/>
      <w:keepLines/>
      <w:spacing w:before="480"/>
      <w:outlineLvl w:val="0"/>
    </w:pPr>
    <w:rPr>
      <w:rFonts w:asciiTheme="majorHAnsi" w:eastAsiaTheme="majorEastAsia" w:hAnsiTheme="majorHAnsi" w:cstheme="majorBidi"/>
      <w:b/>
      <w:bCs/>
      <w:color w:val="008F52" w:themeColor="accent1" w:themeShade="BF"/>
      <w:sz w:val="28"/>
      <w:szCs w:val="28"/>
    </w:rPr>
  </w:style>
  <w:style w:type="paragraph" w:styleId="Heading2">
    <w:name w:val="heading 2"/>
    <w:basedOn w:val="Normal"/>
    <w:next w:val="Normal"/>
    <w:link w:val="Heading2Char"/>
    <w:uiPriority w:val="13"/>
    <w:semiHidden/>
    <w:qFormat/>
    <w:rsid w:val="00D13731"/>
    <w:pPr>
      <w:keepNext/>
      <w:keepLines/>
      <w:spacing w:before="200"/>
      <w:outlineLvl w:val="1"/>
    </w:pPr>
    <w:rPr>
      <w:rFonts w:asciiTheme="majorHAnsi" w:eastAsiaTheme="majorEastAsia" w:hAnsiTheme="majorHAnsi" w:cstheme="majorBidi"/>
      <w:b/>
      <w:bCs/>
      <w:color w:val="00BF6F" w:themeColor="accent1"/>
      <w:sz w:val="26"/>
      <w:szCs w:val="26"/>
    </w:rPr>
  </w:style>
  <w:style w:type="paragraph" w:styleId="Heading3">
    <w:name w:val="heading 3"/>
    <w:basedOn w:val="Normal"/>
    <w:next w:val="Normal"/>
    <w:link w:val="Heading3Char"/>
    <w:uiPriority w:val="9"/>
    <w:semiHidden/>
    <w:unhideWhenUsed/>
    <w:qFormat/>
    <w:rsid w:val="00D13731"/>
    <w:pPr>
      <w:keepNext/>
      <w:keepLines/>
      <w:spacing w:before="200"/>
      <w:outlineLvl w:val="2"/>
    </w:pPr>
    <w:rPr>
      <w:rFonts w:asciiTheme="majorHAnsi" w:eastAsiaTheme="majorEastAsia" w:hAnsiTheme="majorHAnsi" w:cstheme="majorBidi"/>
      <w:b/>
      <w:bCs/>
      <w:color w:val="00BF6F" w:themeColor="accent1"/>
    </w:rPr>
  </w:style>
  <w:style w:type="paragraph" w:styleId="Heading4">
    <w:name w:val="heading 4"/>
    <w:basedOn w:val="Normal"/>
    <w:next w:val="Normal"/>
    <w:link w:val="Heading4Char"/>
    <w:uiPriority w:val="9"/>
    <w:semiHidden/>
    <w:unhideWhenUsed/>
    <w:qFormat/>
    <w:rsid w:val="00D13731"/>
    <w:pPr>
      <w:keepNext/>
      <w:keepLines/>
      <w:spacing w:before="200"/>
      <w:outlineLvl w:val="3"/>
    </w:pPr>
    <w:rPr>
      <w:rFonts w:asciiTheme="majorHAnsi" w:eastAsiaTheme="majorEastAsia" w:hAnsiTheme="majorHAnsi" w:cstheme="majorBidi"/>
      <w:b/>
      <w:bCs/>
      <w:i/>
      <w:iCs/>
      <w:color w:val="00BF6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47B"/>
    <w:pPr>
      <w:tabs>
        <w:tab w:val="center" w:pos="4513"/>
        <w:tab w:val="right" w:pos="9026"/>
      </w:tabs>
    </w:pPr>
  </w:style>
  <w:style w:type="character" w:customStyle="1" w:styleId="HeaderChar">
    <w:name w:val="Header Char"/>
    <w:basedOn w:val="DefaultParagraphFont"/>
    <w:link w:val="Header"/>
    <w:uiPriority w:val="99"/>
    <w:rsid w:val="00D1047B"/>
  </w:style>
  <w:style w:type="paragraph" w:styleId="Footer">
    <w:name w:val="footer"/>
    <w:basedOn w:val="Normal"/>
    <w:link w:val="FooterChar"/>
    <w:uiPriority w:val="99"/>
    <w:semiHidden/>
    <w:rsid w:val="00D1047B"/>
    <w:pPr>
      <w:tabs>
        <w:tab w:val="center" w:pos="4513"/>
        <w:tab w:val="right" w:pos="9026"/>
      </w:tabs>
    </w:pPr>
  </w:style>
  <w:style w:type="character" w:customStyle="1" w:styleId="FooterChar">
    <w:name w:val="Footer Char"/>
    <w:basedOn w:val="DefaultParagraphFont"/>
    <w:link w:val="Footer"/>
    <w:uiPriority w:val="99"/>
    <w:semiHidden/>
    <w:rsid w:val="00365679"/>
  </w:style>
  <w:style w:type="paragraph" w:styleId="BalloonText">
    <w:name w:val="Balloon Text"/>
    <w:basedOn w:val="Normal"/>
    <w:link w:val="BalloonTextChar"/>
    <w:uiPriority w:val="99"/>
    <w:semiHidden/>
    <w:unhideWhenUsed/>
    <w:rsid w:val="00A85878"/>
    <w:rPr>
      <w:rFonts w:ascii="Tahoma" w:hAnsi="Tahoma" w:cs="Tahoma"/>
      <w:sz w:val="16"/>
      <w:szCs w:val="16"/>
    </w:rPr>
  </w:style>
  <w:style w:type="character" w:customStyle="1" w:styleId="BalloonTextChar">
    <w:name w:val="Balloon Text Char"/>
    <w:basedOn w:val="DefaultParagraphFont"/>
    <w:link w:val="BalloonText"/>
    <w:uiPriority w:val="99"/>
    <w:semiHidden/>
    <w:rsid w:val="00A85878"/>
    <w:rPr>
      <w:rFonts w:ascii="Tahoma" w:hAnsi="Tahoma" w:cs="Tahoma"/>
      <w:sz w:val="16"/>
      <w:szCs w:val="16"/>
    </w:rPr>
  </w:style>
  <w:style w:type="paragraph" w:styleId="ListParagraph">
    <w:name w:val="List Paragraph"/>
    <w:basedOn w:val="Normal"/>
    <w:link w:val="ListParagraphChar"/>
    <w:uiPriority w:val="34"/>
    <w:semiHidden/>
    <w:qFormat/>
    <w:rsid w:val="003C60B7"/>
    <w:pPr>
      <w:ind w:left="720"/>
      <w:contextualSpacing/>
    </w:pPr>
  </w:style>
  <w:style w:type="numbering" w:customStyle="1" w:styleId="HPRANumberedList">
    <w:name w:val="HPRA_Numbered List"/>
    <w:uiPriority w:val="99"/>
    <w:rsid w:val="004A3E13"/>
    <w:pPr>
      <w:numPr>
        <w:numId w:val="1"/>
      </w:numPr>
    </w:pPr>
  </w:style>
  <w:style w:type="character" w:styleId="Hyperlink">
    <w:name w:val="Hyperlink"/>
    <w:aliases w:val="HPRA_Hyperlink_Blue"/>
    <w:basedOn w:val="DefaultParagraphFont"/>
    <w:rsid w:val="005A7A86"/>
    <w:rPr>
      <w:color w:val="005390" w:themeColor="hyperlink"/>
      <w:u w:val="single"/>
    </w:rPr>
  </w:style>
  <w:style w:type="table" w:styleId="LightList-Accent5">
    <w:name w:val="Light List Accent 5"/>
    <w:basedOn w:val="TableNormal"/>
    <w:uiPriority w:val="61"/>
    <w:rsid w:val="000E4472"/>
    <w:tblPr>
      <w:tblStyleRowBandSize w:val="1"/>
      <w:tblStyleColBandSize w:val="1"/>
      <w:tblBorders>
        <w:top w:val="single" w:sz="8" w:space="0" w:color="FF69B4" w:themeColor="accent5"/>
        <w:left w:val="single" w:sz="8" w:space="0" w:color="FF69B4" w:themeColor="accent5"/>
        <w:bottom w:val="single" w:sz="8" w:space="0" w:color="FF69B4" w:themeColor="accent5"/>
        <w:right w:val="single" w:sz="8" w:space="0" w:color="FF69B4" w:themeColor="accent5"/>
      </w:tblBorders>
    </w:tblPr>
    <w:tblStylePr w:type="firstRow">
      <w:pPr>
        <w:spacing w:before="0" w:after="0" w:line="240" w:lineRule="auto"/>
      </w:pPr>
      <w:rPr>
        <w:b/>
        <w:bCs/>
        <w:color w:val="FFFFFF" w:themeColor="background1"/>
      </w:rPr>
      <w:tblPr/>
      <w:tcPr>
        <w:shd w:val="clear" w:color="auto" w:fill="FF69B4" w:themeFill="accent5"/>
      </w:tcPr>
    </w:tblStylePr>
    <w:tblStylePr w:type="lastRow">
      <w:pPr>
        <w:spacing w:before="0" w:after="0" w:line="240" w:lineRule="auto"/>
      </w:pPr>
      <w:rPr>
        <w:b/>
        <w:bCs/>
      </w:rPr>
      <w:tblPr/>
      <w:tcPr>
        <w:tcBorders>
          <w:top w:val="double" w:sz="6" w:space="0" w:color="FF69B4" w:themeColor="accent5"/>
          <w:left w:val="single" w:sz="8" w:space="0" w:color="FF69B4" w:themeColor="accent5"/>
          <w:bottom w:val="single" w:sz="8" w:space="0" w:color="FF69B4" w:themeColor="accent5"/>
          <w:right w:val="single" w:sz="8" w:space="0" w:color="FF69B4" w:themeColor="accent5"/>
        </w:tcBorders>
      </w:tcPr>
    </w:tblStylePr>
    <w:tblStylePr w:type="firstCol">
      <w:rPr>
        <w:b/>
        <w:bCs/>
      </w:rPr>
    </w:tblStylePr>
    <w:tblStylePr w:type="lastCol">
      <w:rPr>
        <w:b/>
        <w:bCs/>
      </w:rPr>
    </w:tblStylePr>
    <w:tblStylePr w:type="band1Vert">
      <w:tblPr/>
      <w:tcPr>
        <w:tcBorders>
          <w:top w:val="single" w:sz="8" w:space="0" w:color="FF69B4" w:themeColor="accent5"/>
          <w:left w:val="single" w:sz="8" w:space="0" w:color="FF69B4" w:themeColor="accent5"/>
          <w:bottom w:val="single" w:sz="8" w:space="0" w:color="FF69B4" w:themeColor="accent5"/>
          <w:right w:val="single" w:sz="8" w:space="0" w:color="FF69B4" w:themeColor="accent5"/>
        </w:tcBorders>
      </w:tcPr>
    </w:tblStylePr>
    <w:tblStylePr w:type="band1Horz">
      <w:tblPr/>
      <w:tcPr>
        <w:tcBorders>
          <w:top w:val="single" w:sz="8" w:space="0" w:color="FF69B4" w:themeColor="accent5"/>
          <w:left w:val="single" w:sz="8" w:space="0" w:color="FF69B4" w:themeColor="accent5"/>
          <w:bottom w:val="single" w:sz="8" w:space="0" w:color="FF69B4" w:themeColor="accent5"/>
          <w:right w:val="single" w:sz="8" w:space="0" w:color="FF69B4" w:themeColor="accent5"/>
        </w:tcBorders>
      </w:tcPr>
    </w:tblStylePr>
  </w:style>
  <w:style w:type="numbering" w:customStyle="1" w:styleId="Style1">
    <w:name w:val="Style1"/>
    <w:uiPriority w:val="99"/>
    <w:rsid w:val="00A13EC4"/>
    <w:pPr>
      <w:numPr>
        <w:numId w:val="12"/>
      </w:numPr>
    </w:pPr>
  </w:style>
  <w:style w:type="paragraph" w:customStyle="1" w:styleId="HPRACoverPagefooter">
    <w:name w:val="HPRA_Cover Page footer"/>
    <w:basedOn w:val="Normal"/>
    <w:qFormat/>
    <w:rsid w:val="00B70639"/>
    <w:pPr>
      <w:autoSpaceDE w:val="0"/>
      <w:autoSpaceDN w:val="0"/>
      <w:adjustRightInd w:val="0"/>
    </w:pPr>
    <w:rPr>
      <w:rFonts w:ascii="Segoe UI" w:hAnsi="Segoe UI" w:cs="Segoe UI"/>
      <w:b/>
      <w:bCs/>
      <w:color w:val="007041" w:themeColor="accent4"/>
      <w:sz w:val="18"/>
      <w:szCs w:val="18"/>
    </w:rPr>
  </w:style>
  <w:style w:type="paragraph" w:customStyle="1" w:styleId="HPRAFPFooter">
    <w:name w:val="HPRA_FP_Footer"/>
    <w:basedOn w:val="Footer"/>
    <w:qFormat/>
    <w:rsid w:val="00B20341"/>
    <w:rPr>
      <w:rFonts w:ascii="Segoe UI" w:hAnsi="Segoe UI" w:cs="Segoe UI"/>
      <w:color w:val="707173" w:themeColor="text2"/>
      <w:sz w:val="17"/>
      <w:szCs w:val="17"/>
    </w:rPr>
  </w:style>
  <w:style w:type="paragraph" w:customStyle="1" w:styleId="HPRAS2Header">
    <w:name w:val="HPRA_S2_Header"/>
    <w:basedOn w:val="Normal"/>
    <w:qFormat/>
    <w:rsid w:val="007C4921"/>
    <w:pPr>
      <w:pBdr>
        <w:bottom w:val="single" w:sz="4" w:space="4" w:color="707173" w:themeColor="text2"/>
      </w:pBdr>
      <w:autoSpaceDE w:val="0"/>
      <w:autoSpaceDN w:val="0"/>
      <w:adjustRightInd w:val="0"/>
    </w:pPr>
    <w:rPr>
      <w:rFonts w:ascii="Segoe UI" w:hAnsi="Segoe UI" w:cs="Segoe UI"/>
      <w:color w:val="707173" w:themeColor="text2"/>
      <w:sz w:val="16"/>
      <w:szCs w:val="16"/>
    </w:rPr>
  </w:style>
  <w:style w:type="paragraph" w:customStyle="1" w:styleId="HPRAS2Footer">
    <w:name w:val="HPRA_S2_Footer"/>
    <w:basedOn w:val="Footer"/>
    <w:qFormat/>
    <w:rsid w:val="00C53B20"/>
    <w:pPr>
      <w:tabs>
        <w:tab w:val="clear" w:pos="4513"/>
        <w:tab w:val="clear" w:pos="9026"/>
        <w:tab w:val="right" w:pos="8278"/>
      </w:tabs>
    </w:pPr>
    <w:rPr>
      <w:rFonts w:ascii="Segoe UI" w:hAnsi="Segoe UI" w:cs="Segoe UI"/>
      <w:color w:val="707173" w:themeColor="text2"/>
      <w:sz w:val="18"/>
      <w:szCs w:val="18"/>
    </w:rPr>
  </w:style>
  <w:style w:type="character" w:customStyle="1" w:styleId="Heading1Char">
    <w:name w:val="Heading 1 Char"/>
    <w:basedOn w:val="DefaultParagraphFont"/>
    <w:link w:val="Heading1"/>
    <w:uiPriority w:val="9"/>
    <w:semiHidden/>
    <w:rsid w:val="00365679"/>
    <w:rPr>
      <w:rFonts w:asciiTheme="majorHAnsi" w:eastAsiaTheme="majorEastAsia" w:hAnsiTheme="majorHAnsi" w:cstheme="majorBidi"/>
      <w:b/>
      <w:bCs/>
      <w:color w:val="008F52" w:themeColor="accent1" w:themeShade="BF"/>
      <w:sz w:val="28"/>
      <w:szCs w:val="28"/>
    </w:rPr>
  </w:style>
  <w:style w:type="character" w:customStyle="1" w:styleId="Heading2Char">
    <w:name w:val="Heading 2 Char"/>
    <w:basedOn w:val="DefaultParagraphFont"/>
    <w:link w:val="Heading2"/>
    <w:uiPriority w:val="13"/>
    <w:semiHidden/>
    <w:rsid w:val="007C1EC3"/>
    <w:rPr>
      <w:rFonts w:asciiTheme="majorHAnsi" w:eastAsiaTheme="majorEastAsia" w:hAnsiTheme="majorHAnsi" w:cstheme="majorBidi"/>
      <w:b/>
      <w:bCs/>
      <w:color w:val="00BF6F" w:themeColor="accent1"/>
      <w:sz w:val="26"/>
      <w:szCs w:val="26"/>
    </w:rPr>
  </w:style>
  <w:style w:type="character" w:customStyle="1" w:styleId="Heading3Char">
    <w:name w:val="Heading 3 Char"/>
    <w:basedOn w:val="DefaultParagraphFont"/>
    <w:link w:val="Heading3"/>
    <w:uiPriority w:val="9"/>
    <w:semiHidden/>
    <w:rsid w:val="00D13731"/>
    <w:rPr>
      <w:rFonts w:asciiTheme="majorHAnsi" w:eastAsiaTheme="majorEastAsia" w:hAnsiTheme="majorHAnsi" w:cstheme="majorBidi"/>
      <w:b/>
      <w:bCs/>
      <w:color w:val="00BF6F" w:themeColor="accent1"/>
    </w:rPr>
  </w:style>
  <w:style w:type="character" w:customStyle="1" w:styleId="Heading4Char">
    <w:name w:val="Heading 4 Char"/>
    <w:basedOn w:val="DefaultParagraphFont"/>
    <w:link w:val="Heading4"/>
    <w:uiPriority w:val="9"/>
    <w:semiHidden/>
    <w:rsid w:val="00D13731"/>
    <w:rPr>
      <w:rFonts w:asciiTheme="majorHAnsi" w:eastAsiaTheme="majorEastAsia" w:hAnsiTheme="majorHAnsi" w:cstheme="majorBidi"/>
      <w:b/>
      <w:bCs/>
      <w:i/>
      <w:iCs/>
      <w:color w:val="00BF6F" w:themeColor="accent1"/>
    </w:rPr>
  </w:style>
  <w:style w:type="paragraph" w:customStyle="1" w:styleId="HPRACoverGuidefor">
    <w:name w:val="HPRA_Cover_Guide for"/>
    <w:basedOn w:val="Normal"/>
    <w:qFormat/>
    <w:rsid w:val="00B70639"/>
    <w:rPr>
      <w:rFonts w:ascii="Segoe UI" w:hAnsi="Segoe UI" w:cs="Segoe UI"/>
      <w:b/>
      <w:color w:val="707173" w:themeColor="text2"/>
      <w:sz w:val="40"/>
      <w:szCs w:val="56"/>
    </w:rPr>
  </w:style>
  <w:style w:type="paragraph" w:customStyle="1" w:styleId="HPRACoverTitle">
    <w:name w:val="HPRA_Cover_Title"/>
    <w:basedOn w:val="Normal"/>
    <w:qFormat/>
    <w:rsid w:val="00B70639"/>
    <w:pPr>
      <w:pBdr>
        <w:bottom w:val="single" w:sz="36" w:space="6" w:color="707173" w:themeColor="text2"/>
      </w:pBdr>
    </w:pPr>
    <w:rPr>
      <w:rFonts w:ascii="Segoe UI" w:hAnsi="Segoe UI" w:cs="Segoe UI"/>
      <w:b/>
      <w:bCs/>
      <w:color w:val="007041" w:themeColor="accent4"/>
      <w:sz w:val="40"/>
      <w:szCs w:val="56"/>
    </w:rPr>
  </w:style>
  <w:style w:type="paragraph" w:customStyle="1" w:styleId="HPRATOCTitle">
    <w:name w:val="HPRA_TOC_Title"/>
    <w:basedOn w:val="Normal"/>
    <w:qFormat/>
    <w:rsid w:val="009C499F"/>
    <w:rPr>
      <w:rFonts w:ascii="Segoe UI" w:hAnsi="Segoe UI" w:cs="Segoe UI"/>
      <w:b/>
      <w:bCs/>
      <w:color w:val="007041" w:themeColor="accent4"/>
      <w:sz w:val="24"/>
      <w:szCs w:val="24"/>
    </w:rPr>
  </w:style>
  <w:style w:type="paragraph" w:customStyle="1" w:styleId="HPRAHeadingL1">
    <w:name w:val="HPRA_Heading_L1"/>
    <w:basedOn w:val="Heading1"/>
    <w:qFormat/>
    <w:rsid w:val="003327EB"/>
    <w:pPr>
      <w:numPr>
        <w:numId w:val="3"/>
      </w:numPr>
      <w:spacing w:before="0"/>
      <w:ind w:left="709" w:hanging="709"/>
    </w:pPr>
    <w:rPr>
      <w:rFonts w:ascii="Segoe UI" w:hAnsi="Segoe UI" w:cs="Segoe UI"/>
      <w:bCs w:val="0"/>
      <w:caps/>
      <w:color w:val="007041" w:themeColor="accent4"/>
      <w:sz w:val="20"/>
      <w:szCs w:val="24"/>
    </w:rPr>
  </w:style>
  <w:style w:type="paragraph" w:customStyle="1" w:styleId="HPRAHeadingL2">
    <w:name w:val="HPRA_Heading_L2"/>
    <w:basedOn w:val="ListParagraph"/>
    <w:qFormat/>
    <w:rsid w:val="001E433D"/>
    <w:pPr>
      <w:numPr>
        <w:ilvl w:val="1"/>
        <w:numId w:val="3"/>
      </w:numPr>
      <w:ind w:left="709" w:hanging="709"/>
    </w:pPr>
    <w:rPr>
      <w:rFonts w:ascii="Segoe UI" w:hAnsi="Segoe UI" w:cs="Segoe UI"/>
      <w:b/>
      <w:bCs/>
      <w:color w:val="007041" w:themeColor="accent4"/>
      <w:sz w:val="20"/>
      <w:szCs w:val="20"/>
    </w:rPr>
  </w:style>
  <w:style w:type="paragraph" w:customStyle="1" w:styleId="HPRAHeadingL3">
    <w:name w:val="HPRA_Heading_L3"/>
    <w:basedOn w:val="ListParagraph"/>
    <w:qFormat/>
    <w:rsid w:val="00A562DD"/>
    <w:pPr>
      <w:numPr>
        <w:ilvl w:val="2"/>
        <w:numId w:val="3"/>
      </w:numPr>
    </w:pPr>
    <w:rPr>
      <w:rFonts w:ascii="Segoe UI" w:hAnsi="Segoe UI" w:cs="Segoe UI"/>
      <w:color w:val="007041" w:themeColor="accent4"/>
      <w:sz w:val="20"/>
      <w:szCs w:val="20"/>
    </w:rPr>
  </w:style>
  <w:style w:type="paragraph" w:customStyle="1" w:styleId="HPRABodyTextL4">
    <w:name w:val="HPRA_BodyText_L4"/>
    <w:basedOn w:val="ListParagraph"/>
    <w:qFormat/>
    <w:rsid w:val="00DA3FE0"/>
    <w:pPr>
      <w:numPr>
        <w:ilvl w:val="3"/>
        <w:numId w:val="3"/>
      </w:numPr>
    </w:pPr>
    <w:rPr>
      <w:rFonts w:ascii="Segoe UI" w:hAnsi="Segoe UI" w:cs="Segoe UI"/>
      <w:sz w:val="20"/>
      <w:szCs w:val="20"/>
    </w:rPr>
  </w:style>
  <w:style w:type="paragraph" w:customStyle="1" w:styleId="HPRAMainBodyText">
    <w:name w:val="HPRA_MainBodyText"/>
    <w:basedOn w:val="Normal"/>
    <w:qFormat/>
    <w:rsid w:val="00DA3FE0"/>
    <w:rPr>
      <w:rFonts w:ascii="Segoe UI" w:hAnsi="Segoe UI" w:cs="Segoe UI"/>
      <w:sz w:val="20"/>
      <w:szCs w:val="20"/>
    </w:rPr>
  </w:style>
  <w:style w:type="character" w:customStyle="1" w:styleId="HPRABodyTextBold">
    <w:name w:val="HPRA_BodyText_Bold"/>
    <w:basedOn w:val="DefaultParagraphFont"/>
    <w:uiPriority w:val="1"/>
    <w:qFormat/>
    <w:rsid w:val="00DA3FE0"/>
    <w:rPr>
      <w:rFonts w:ascii="Segoe UI" w:hAnsi="Segoe UI" w:cs="Segoe UI"/>
      <w:b/>
      <w:sz w:val="20"/>
      <w:szCs w:val="20"/>
    </w:rPr>
  </w:style>
  <w:style w:type="character" w:customStyle="1" w:styleId="HPRABodyTextItalic">
    <w:name w:val="HPRA_BodyText_Italic"/>
    <w:basedOn w:val="DefaultParagraphFont"/>
    <w:uiPriority w:val="1"/>
    <w:qFormat/>
    <w:rsid w:val="001243A1"/>
    <w:rPr>
      <w:rFonts w:ascii="Segoe UI" w:hAnsi="Segoe UI" w:cs="Segoe UI"/>
      <w:i/>
      <w:sz w:val="20"/>
      <w:szCs w:val="20"/>
    </w:rPr>
  </w:style>
  <w:style w:type="paragraph" w:customStyle="1" w:styleId="HPRANumberedList0">
    <w:name w:val="HPRA_Numbered_List"/>
    <w:basedOn w:val="ListParagraph"/>
    <w:qFormat/>
    <w:rsid w:val="001243A1"/>
    <w:pPr>
      <w:numPr>
        <w:numId w:val="2"/>
      </w:numPr>
      <w:ind w:left="284" w:hanging="284"/>
    </w:pPr>
    <w:rPr>
      <w:rFonts w:ascii="Segoe UI" w:hAnsi="Segoe UI" w:cs="Segoe UI"/>
      <w:sz w:val="20"/>
      <w:szCs w:val="20"/>
    </w:rPr>
  </w:style>
  <w:style w:type="paragraph" w:customStyle="1" w:styleId="HPRABulletedList">
    <w:name w:val="HPRA_Bulleted_List"/>
    <w:basedOn w:val="ListParagraph"/>
    <w:link w:val="HPRABulletedListChar"/>
    <w:qFormat/>
    <w:rsid w:val="007F0300"/>
    <w:pPr>
      <w:numPr>
        <w:numId w:val="13"/>
      </w:numPr>
    </w:pPr>
    <w:rPr>
      <w:rFonts w:ascii="Segoe UI" w:hAnsi="Segoe UI" w:cs="Segoe UI"/>
      <w:sz w:val="20"/>
      <w:szCs w:val="20"/>
    </w:rPr>
  </w:style>
  <w:style w:type="table" w:customStyle="1" w:styleId="HPRATableGreenHeader">
    <w:name w:val="HPRA_Table_GreenHeader"/>
    <w:basedOn w:val="TableNormal"/>
    <w:uiPriority w:val="99"/>
    <w:rsid w:val="00DE3813"/>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rPr>
        <w:tblHeader/>
      </w:tr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table" w:styleId="TableGrid">
    <w:name w:val="Table Grid"/>
    <w:basedOn w:val="TableNormal"/>
    <w:uiPriority w:val="59"/>
    <w:rsid w:val="00203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HPRA_TOC 1"/>
    <w:basedOn w:val="Normal"/>
    <w:next w:val="Normal"/>
    <w:autoRedefine/>
    <w:uiPriority w:val="39"/>
    <w:unhideWhenUsed/>
    <w:rsid w:val="0080014C"/>
    <w:pPr>
      <w:tabs>
        <w:tab w:val="right" w:pos="8278"/>
      </w:tabs>
      <w:spacing w:after="100"/>
      <w:ind w:left="567" w:right="567" w:hanging="567"/>
      <w:textboxTightWrap w:val="allLines"/>
    </w:pPr>
    <w:rPr>
      <w:rFonts w:ascii="Segoe UI" w:hAnsi="Segoe UI"/>
      <w:caps/>
      <w:noProof/>
      <w:color w:val="000000" w:themeColor="text1"/>
      <w:sz w:val="20"/>
    </w:rPr>
  </w:style>
  <w:style w:type="paragraph" w:styleId="TOC2">
    <w:name w:val="toc 2"/>
    <w:aliases w:val="HPRA_TOC 2"/>
    <w:basedOn w:val="Normal"/>
    <w:next w:val="Normal"/>
    <w:autoRedefine/>
    <w:uiPriority w:val="39"/>
    <w:unhideWhenUsed/>
    <w:rsid w:val="0080014C"/>
    <w:pPr>
      <w:tabs>
        <w:tab w:val="right" w:pos="8278"/>
      </w:tabs>
      <w:spacing w:after="100"/>
      <w:ind w:left="567" w:right="567" w:hanging="567"/>
    </w:pPr>
    <w:rPr>
      <w:rFonts w:ascii="Segoe UI" w:hAnsi="Segoe UI"/>
      <w:color w:val="000000" w:themeColor="text1"/>
      <w:sz w:val="20"/>
    </w:rPr>
  </w:style>
  <w:style w:type="paragraph" w:styleId="TOC3">
    <w:name w:val="toc 3"/>
    <w:aliases w:val="HPRA_TOC 3"/>
    <w:basedOn w:val="Normal"/>
    <w:next w:val="Normal"/>
    <w:autoRedefine/>
    <w:uiPriority w:val="39"/>
    <w:unhideWhenUsed/>
    <w:rsid w:val="0080014C"/>
    <w:pPr>
      <w:tabs>
        <w:tab w:val="right" w:pos="8278"/>
      </w:tabs>
      <w:spacing w:after="100"/>
      <w:ind w:left="442" w:right="567"/>
    </w:pPr>
    <w:rPr>
      <w:rFonts w:ascii="Segoe UI" w:hAnsi="Segoe UI"/>
      <w:sz w:val="20"/>
    </w:rPr>
  </w:style>
  <w:style w:type="paragraph" w:customStyle="1" w:styleId="HPRAIndentedBulletList">
    <w:name w:val="HPRA_Indented Bullet_List"/>
    <w:basedOn w:val="HPRABulletedList"/>
    <w:link w:val="HPRAIndentedBulletListChar"/>
    <w:uiPriority w:val="4"/>
    <w:qFormat/>
    <w:rsid w:val="007F0300"/>
    <w:pPr>
      <w:numPr>
        <w:numId w:val="14"/>
      </w:numPr>
    </w:pPr>
  </w:style>
  <w:style w:type="paragraph" w:customStyle="1" w:styleId="HPRAAlphabetBulletedList0">
    <w:name w:val="HPRA_Alphabet_Bulleted_List"/>
    <w:basedOn w:val="HPRABulletedList"/>
    <w:link w:val="HPRAAlphabetBulletedListChar"/>
    <w:qFormat/>
    <w:rsid w:val="00EA4CD3"/>
    <w:pPr>
      <w:numPr>
        <w:numId w:val="9"/>
      </w:numPr>
    </w:pPr>
  </w:style>
  <w:style w:type="paragraph" w:customStyle="1" w:styleId="HPRALowercaseAlphabetBulletList">
    <w:name w:val="HPRA_Lowercase_Alphabet Bullet List"/>
    <w:basedOn w:val="HPRAAlphabetBulletedList0"/>
    <w:link w:val="HPRALowercaseAlphabetBulletListChar"/>
    <w:uiPriority w:val="4"/>
    <w:qFormat/>
    <w:rsid w:val="00EA4CD3"/>
    <w:pPr>
      <w:numPr>
        <w:numId w:val="4"/>
      </w:numPr>
    </w:pPr>
  </w:style>
  <w:style w:type="numbering" w:customStyle="1" w:styleId="HPRALowecaseAlphabetBullet">
    <w:name w:val="HPRA_Lowecase_Alphabet_Bullet"/>
    <w:uiPriority w:val="99"/>
    <w:rsid w:val="00EA4CD3"/>
    <w:pPr>
      <w:numPr>
        <w:numId w:val="4"/>
      </w:numPr>
    </w:pPr>
  </w:style>
  <w:style w:type="numbering" w:customStyle="1" w:styleId="HPRARomanNumeralsBulletedlist">
    <w:name w:val="HPRA_RomanNumerals_Bulleted list"/>
    <w:uiPriority w:val="99"/>
    <w:rsid w:val="000A5F7E"/>
    <w:pPr>
      <w:numPr>
        <w:numId w:val="5"/>
      </w:numPr>
    </w:pPr>
  </w:style>
  <w:style w:type="paragraph" w:customStyle="1" w:styleId="HPRARomanNumeralsBulletedList0">
    <w:name w:val="HPRA_RomanNumerals_Bulleted_List"/>
    <w:basedOn w:val="HPRALowercaseAlphabetBulletList"/>
    <w:link w:val="HPRARomanNumeralsBulletedListChar"/>
    <w:uiPriority w:val="4"/>
    <w:qFormat/>
    <w:rsid w:val="000A5F7E"/>
    <w:pPr>
      <w:numPr>
        <w:numId w:val="16"/>
      </w:numPr>
    </w:pPr>
  </w:style>
  <w:style w:type="paragraph" w:customStyle="1" w:styleId="HPRAMainBodyTextUnderline">
    <w:name w:val="HPRA_MainBodyText_Underline"/>
    <w:basedOn w:val="HPRAMainBodyText"/>
    <w:qFormat/>
    <w:rsid w:val="00F9380C"/>
    <w:rPr>
      <w:u w:val="single"/>
    </w:rPr>
  </w:style>
  <w:style w:type="numbering" w:customStyle="1" w:styleId="HPRAAlphabetBulletedList">
    <w:name w:val="HPRA_Alphabet_Bulleted List"/>
    <w:uiPriority w:val="99"/>
    <w:rsid w:val="00EA4CD3"/>
    <w:pPr>
      <w:numPr>
        <w:numId w:val="6"/>
      </w:numPr>
    </w:pPr>
  </w:style>
  <w:style w:type="numbering" w:customStyle="1" w:styleId="HPRAArabicNumerals">
    <w:name w:val="HPRA_Arabic Numerals"/>
    <w:uiPriority w:val="99"/>
    <w:rsid w:val="000A5F7E"/>
    <w:pPr>
      <w:numPr>
        <w:numId w:val="7"/>
      </w:numPr>
    </w:pPr>
  </w:style>
  <w:style w:type="paragraph" w:customStyle="1" w:styleId="HPRAArabicNumeralBulletedList">
    <w:name w:val="HPRA_Arabic Numeral_Bulleted List"/>
    <w:basedOn w:val="HPRARomanNumeralsBulletedList0"/>
    <w:link w:val="HPRAArabicNumeralBulletedListChar"/>
    <w:uiPriority w:val="4"/>
    <w:rsid w:val="000A5F7E"/>
    <w:pPr>
      <w:numPr>
        <w:numId w:val="10"/>
      </w:numPr>
    </w:pPr>
  </w:style>
  <w:style w:type="numbering" w:customStyle="1" w:styleId="IndentedBulletedList">
    <w:name w:val="Indented Bulleted List"/>
    <w:uiPriority w:val="99"/>
    <w:rsid w:val="00390487"/>
    <w:pPr>
      <w:numPr>
        <w:numId w:val="8"/>
      </w:numPr>
    </w:pPr>
  </w:style>
  <w:style w:type="paragraph" w:customStyle="1" w:styleId="HPRAArabicnumberalbulletedlist">
    <w:name w:val="HPRA Arabic numberal bulleted list"/>
    <w:basedOn w:val="HPRAArabicNumeralBulletedList"/>
    <w:link w:val="HPRAArabicnumberalbulletedlistChar"/>
    <w:uiPriority w:val="4"/>
    <w:rsid w:val="000A5F7E"/>
    <w:pPr>
      <w:numPr>
        <w:ilvl w:val="2"/>
      </w:numPr>
    </w:pPr>
  </w:style>
  <w:style w:type="character" w:customStyle="1" w:styleId="ListParagraphChar">
    <w:name w:val="List Paragraph Char"/>
    <w:basedOn w:val="DefaultParagraphFont"/>
    <w:link w:val="ListParagraph"/>
    <w:uiPriority w:val="34"/>
    <w:semiHidden/>
    <w:rsid w:val="000A5F7E"/>
  </w:style>
  <w:style w:type="character" w:customStyle="1" w:styleId="HPRABulletedListChar">
    <w:name w:val="HPRA_Bulleted_List Char"/>
    <w:basedOn w:val="ListParagraphChar"/>
    <w:link w:val="HPRABulletedList"/>
    <w:rsid w:val="007F0300"/>
    <w:rPr>
      <w:rFonts w:ascii="Segoe UI" w:hAnsi="Segoe UI" w:cs="Segoe UI"/>
      <w:sz w:val="20"/>
      <w:szCs w:val="20"/>
    </w:rPr>
  </w:style>
  <w:style w:type="character" w:customStyle="1" w:styleId="HPRAAlphabetBulletedListChar">
    <w:name w:val="HPRA_Alphabet_Bulleted_List Char"/>
    <w:basedOn w:val="HPRABulletedListChar"/>
    <w:link w:val="HPRAAlphabetBulletedList0"/>
    <w:rsid w:val="000A5F7E"/>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0A5F7E"/>
    <w:rPr>
      <w:rFonts w:ascii="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0A5F7E"/>
    <w:rPr>
      <w:rFonts w:ascii="Segoe UI" w:hAnsi="Segoe UI" w:cs="Segoe UI"/>
      <w:sz w:val="20"/>
      <w:szCs w:val="20"/>
    </w:rPr>
  </w:style>
  <w:style w:type="character" w:customStyle="1" w:styleId="HPRAArabicNumeralBulletedListChar">
    <w:name w:val="HPRA_Arabic Numeral_Bulleted List Char"/>
    <w:basedOn w:val="HPRARomanNumeralsBulletedListChar"/>
    <w:link w:val="HPRAArabicNumeralBulletedList"/>
    <w:uiPriority w:val="4"/>
    <w:rsid w:val="000A5F7E"/>
    <w:rPr>
      <w:rFonts w:ascii="Segoe UI" w:hAnsi="Segoe UI" w:cs="Segoe UI"/>
      <w:sz w:val="20"/>
      <w:szCs w:val="20"/>
    </w:rPr>
  </w:style>
  <w:style w:type="character" w:customStyle="1" w:styleId="HPRAArabicnumberalbulletedlistChar">
    <w:name w:val="HPRA Arabic numberal bulleted list Char"/>
    <w:basedOn w:val="HPRAArabicNumeralBulletedListChar"/>
    <w:link w:val="HPRAArabicnumberalbulletedlist"/>
    <w:uiPriority w:val="4"/>
    <w:rsid w:val="000A5F7E"/>
    <w:rPr>
      <w:rFonts w:ascii="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F0300"/>
    <w:pPr>
      <w:numPr>
        <w:numId w:val="15"/>
      </w:numPr>
    </w:pPr>
  </w:style>
  <w:style w:type="numbering" w:customStyle="1" w:styleId="HPRAIndentedBulletedList">
    <w:name w:val="HPRA_Indented Bulleted_List"/>
    <w:uiPriority w:val="99"/>
    <w:rsid w:val="00AC35C5"/>
    <w:pPr>
      <w:numPr>
        <w:numId w:val="11"/>
      </w:numPr>
    </w:pPr>
  </w:style>
  <w:style w:type="character" w:customStyle="1" w:styleId="HPRAIndentedBulletListChar">
    <w:name w:val="HPRA_Indented Bullet_List Char"/>
    <w:basedOn w:val="HPRABulletedListChar"/>
    <w:link w:val="HPRAIndentedBulletList"/>
    <w:uiPriority w:val="4"/>
    <w:rsid w:val="007F0300"/>
    <w:rPr>
      <w:rFonts w:ascii="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F0300"/>
    <w:rPr>
      <w:rFonts w:ascii="Segoe UI" w:hAnsi="Segoe UI" w:cs="Segoe UI"/>
      <w:sz w:val="20"/>
      <w:szCs w:val="20"/>
    </w:rPr>
  </w:style>
  <w:style w:type="paragraph" w:customStyle="1" w:styleId="QMSHEADING1">
    <w:name w:val="QMS HEADING 1"/>
    <w:basedOn w:val="Normal"/>
    <w:link w:val="QMSHEADING1Char"/>
    <w:rsid w:val="005E7F5F"/>
    <w:pPr>
      <w:tabs>
        <w:tab w:val="left" w:pos="720"/>
      </w:tabs>
      <w:snapToGrid w:val="0"/>
      <w:spacing w:before="480" w:after="240"/>
      <w:ind w:left="720" w:hanging="720"/>
      <w:jc w:val="both"/>
    </w:pPr>
    <w:rPr>
      <w:rFonts w:ascii="Arial" w:eastAsia="MS Mincho" w:hAnsi="Arial" w:cs="Times New Roman"/>
      <w:b/>
      <w:bCs/>
      <w:caps/>
      <w:color w:val="A50021"/>
      <w:sz w:val="20"/>
      <w:szCs w:val="20"/>
    </w:rPr>
  </w:style>
  <w:style w:type="character" w:customStyle="1" w:styleId="QMSHEADING1Char">
    <w:name w:val="QMS HEADING 1 Char"/>
    <w:basedOn w:val="DefaultParagraphFont"/>
    <w:link w:val="QMSHEADING1"/>
    <w:rsid w:val="005E7F5F"/>
    <w:rPr>
      <w:rFonts w:ascii="Arial" w:eastAsia="MS Mincho" w:hAnsi="Arial" w:cs="Times New Roman"/>
      <w:b/>
      <w:bCs/>
      <w:caps/>
      <w:color w:val="A50021"/>
      <w:sz w:val="20"/>
      <w:szCs w:val="20"/>
    </w:rPr>
  </w:style>
  <w:style w:type="character" w:styleId="CommentReference">
    <w:name w:val="annotation reference"/>
    <w:basedOn w:val="DefaultParagraphFont"/>
    <w:uiPriority w:val="99"/>
    <w:semiHidden/>
    <w:unhideWhenUsed/>
    <w:rsid w:val="00116B51"/>
    <w:rPr>
      <w:sz w:val="16"/>
      <w:szCs w:val="16"/>
    </w:rPr>
  </w:style>
  <w:style w:type="paragraph" w:styleId="CommentText">
    <w:name w:val="annotation text"/>
    <w:basedOn w:val="Normal"/>
    <w:link w:val="CommentTextChar"/>
    <w:uiPriority w:val="99"/>
    <w:semiHidden/>
    <w:unhideWhenUsed/>
    <w:rsid w:val="00116B51"/>
    <w:rPr>
      <w:sz w:val="20"/>
      <w:szCs w:val="20"/>
    </w:rPr>
  </w:style>
  <w:style w:type="character" w:customStyle="1" w:styleId="CommentTextChar">
    <w:name w:val="Comment Text Char"/>
    <w:basedOn w:val="DefaultParagraphFont"/>
    <w:link w:val="CommentText"/>
    <w:uiPriority w:val="99"/>
    <w:semiHidden/>
    <w:rsid w:val="00116B51"/>
    <w:rPr>
      <w:sz w:val="20"/>
      <w:szCs w:val="20"/>
    </w:rPr>
  </w:style>
  <w:style w:type="paragraph" w:styleId="CommentSubject">
    <w:name w:val="annotation subject"/>
    <w:basedOn w:val="CommentText"/>
    <w:next w:val="CommentText"/>
    <w:link w:val="CommentSubjectChar"/>
    <w:uiPriority w:val="99"/>
    <w:semiHidden/>
    <w:unhideWhenUsed/>
    <w:rsid w:val="00116B51"/>
    <w:rPr>
      <w:b/>
      <w:bCs/>
    </w:rPr>
  </w:style>
  <w:style w:type="character" w:customStyle="1" w:styleId="CommentSubjectChar">
    <w:name w:val="Comment Subject Char"/>
    <w:basedOn w:val="CommentTextChar"/>
    <w:link w:val="CommentSubject"/>
    <w:uiPriority w:val="99"/>
    <w:semiHidden/>
    <w:rsid w:val="00116B51"/>
    <w:rPr>
      <w:b/>
      <w:bCs/>
      <w:sz w:val="20"/>
      <w:szCs w:val="20"/>
    </w:rPr>
  </w:style>
  <w:style w:type="paragraph" w:styleId="Revision">
    <w:name w:val="Revision"/>
    <w:hidden/>
    <w:uiPriority w:val="99"/>
    <w:semiHidden/>
    <w:rsid w:val="00F74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hbbar@hpra.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hpra.ie" TargetMode="External"/><Relationship Id="rId2" Type="http://schemas.openxmlformats.org/officeDocument/2006/relationships/numbering" Target="numbering.xml"/><Relationship Id="rId16" Type="http://schemas.openxmlformats.org/officeDocument/2006/relationships/hyperlink" Target="mailto:hbbar@hpra.i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hbbar@hpra.ie"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hpra.i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086E10-4F0B-442C-A5B4-87757310C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2510</Words>
  <Characters>14312</Characters>
  <Application>Microsoft Office Word</Application>
  <DocSecurity>0</DocSecurity>
  <Lines>119</Lines>
  <Paragraphs>33</Paragraphs>
  <ScaleCrop>false</ScaleCrop>
  <Company/>
  <LinksUpToDate>false</LinksUpToDate>
  <CharactersWithSpaces>16789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2025-09-19T08:28:00Z</dcterms:created>
  <dcterms:modified xsi:type="dcterms:W3CDTF">2026-06-12T10:35:00Z</dcterms:modified>
</cp:coreProperties>
</file>